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0C" w:rsidRPr="006E4F7F" w:rsidRDefault="009055CB" w:rsidP="00963EAF">
      <w:pPr>
        <w:widowControl/>
        <w:jc w:val="left"/>
        <w:rPr>
          <w:rFonts w:ascii="Times New Roman" w:hAnsi="Times New Roman"/>
          <w:sz w:val="42"/>
          <w:szCs w:val="42"/>
        </w:rPr>
      </w:pPr>
      <w:r w:rsidRPr="006E4F7F">
        <w:rPr>
          <w:rFonts w:ascii="Times New Roman" w:eastAsia="方正大标宋简体" w:hAnsi="Times New Roman"/>
          <w:sz w:val="42"/>
          <w:szCs w:val="42"/>
        </w:rPr>
        <w:t>附件</w:t>
      </w:r>
      <w:r w:rsidRPr="006E4F7F">
        <w:rPr>
          <w:rFonts w:ascii="Times New Roman" w:eastAsia="方正大标宋简体" w:hAnsi="Times New Roman"/>
          <w:sz w:val="42"/>
          <w:szCs w:val="42"/>
        </w:rPr>
        <w:t>1</w:t>
      </w:r>
    </w:p>
    <w:p w:rsidR="000F000C" w:rsidRPr="006E4F7F" w:rsidRDefault="000F000C">
      <w:pPr>
        <w:spacing w:line="400" w:lineRule="exact"/>
        <w:ind w:firstLineChars="100" w:firstLine="420"/>
        <w:rPr>
          <w:rFonts w:ascii="Times New Roman" w:eastAsia="方正大标宋简体" w:hAnsi="Times New Roman"/>
          <w:color w:val="000000"/>
          <w:sz w:val="42"/>
          <w:szCs w:val="42"/>
        </w:rPr>
      </w:pPr>
    </w:p>
    <w:p w:rsidR="000F000C" w:rsidRPr="006E4F7F" w:rsidRDefault="009055CB">
      <w:pPr>
        <w:tabs>
          <w:tab w:val="center" w:pos="4390"/>
        </w:tabs>
        <w:jc w:val="center"/>
        <w:rPr>
          <w:rFonts w:ascii="Times New Roman" w:eastAsia="方正大标宋简体" w:hAnsi="Times New Roman"/>
          <w:sz w:val="42"/>
          <w:szCs w:val="42"/>
        </w:rPr>
      </w:pPr>
      <w:r w:rsidRPr="006E4F7F">
        <w:rPr>
          <w:rFonts w:ascii="Times New Roman" w:eastAsia="方正大标宋简体" w:hAnsi="Times New Roman"/>
          <w:sz w:val="42"/>
          <w:szCs w:val="42"/>
        </w:rPr>
        <w:t>上海期货交易所胶版印刷纸期货合约</w:t>
      </w:r>
    </w:p>
    <w:p w:rsidR="000F000C" w:rsidRDefault="000F000C">
      <w:pPr>
        <w:tabs>
          <w:tab w:val="center" w:pos="4390"/>
        </w:tabs>
        <w:jc w:val="center"/>
        <w:rPr>
          <w:rFonts w:ascii="方正大标宋简体" w:eastAsia="方正大标宋简体" w:hAnsi="Times New Roman"/>
          <w:sz w:val="3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5930"/>
      </w:tblGrid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交易品种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胶版印刷纸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交易单位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sz w:val="30"/>
                <w:szCs w:val="30"/>
              </w:rPr>
              <w:t>4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手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报价单位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元（人民币）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最小变动价位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元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涨跌停板幅度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上一交易日结算价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±4%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合约月份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～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12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月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交易时间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上午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9:00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sz w:val="30"/>
                <w:szCs w:val="30"/>
              </w:rPr>
              <w:t>～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11:30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，下午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1:30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sz w:val="30"/>
                <w:szCs w:val="30"/>
              </w:rPr>
              <w:t>～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3:00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和交易所规定的其他交易时间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最后交易日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合约月份的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15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日（遇国家法定节假日顺延，春节月份等最后交易日交易所可另行调整并通知）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交割日期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最后交易日后连续二个工作日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交割品级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定量为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65g/m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、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70g/m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、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75g/m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、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80g/m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的双面胶版印刷纸。</w:t>
            </w:r>
          </w:p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质量符合或者优于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GB/T 30130-2023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《胶版印刷纸》（具体质量规定见附件）。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交割地点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交易所交割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sz w:val="30"/>
                <w:szCs w:val="30"/>
              </w:rPr>
              <w:t>库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lastRenderedPageBreak/>
              <w:t>最低交易保证金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合约价值的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5%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交割方式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bookmarkStart w:id="0" w:name="_Toc186441625"/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实物交割</w:t>
            </w:r>
            <w:bookmarkEnd w:id="0"/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交割单位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sz w:val="30"/>
                <w:szCs w:val="30"/>
              </w:rPr>
              <w:t>4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吨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交易代码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OP</w:t>
            </w:r>
          </w:p>
        </w:tc>
      </w:tr>
      <w:tr w:rsidR="000F000C">
        <w:trPr>
          <w:trHeight w:val="5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sz w:val="30"/>
                <w:szCs w:val="30"/>
              </w:rPr>
              <w:t>上市交易所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F000C" w:rsidRDefault="009055CB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30"/>
                <w:szCs w:val="30"/>
              </w:rPr>
              <w:t>上海期货交易所</w:t>
            </w:r>
          </w:p>
        </w:tc>
      </w:tr>
    </w:tbl>
    <w:p w:rsidR="000F000C" w:rsidRDefault="000F000C"/>
    <w:p w:rsidR="000F000C" w:rsidRPr="006E4F7F" w:rsidRDefault="009055CB">
      <w:pPr>
        <w:tabs>
          <w:tab w:val="center" w:pos="4390"/>
        </w:tabs>
        <w:jc w:val="center"/>
        <w:rPr>
          <w:rFonts w:ascii="方正大标宋简体" w:eastAsia="方正大标宋简体" w:hAnsi="Times New Roman"/>
          <w:sz w:val="42"/>
          <w:szCs w:val="42"/>
        </w:rPr>
      </w:pPr>
      <w:r>
        <w:rPr>
          <w:rFonts w:ascii="方正大标宋简体" w:eastAsia="方正大标宋简体" w:hAnsi="Times New Roman"/>
          <w:sz w:val="36"/>
          <w:szCs w:val="28"/>
        </w:rPr>
        <w:br w:type="page"/>
      </w:r>
      <w:r w:rsidRPr="006E4F7F">
        <w:rPr>
          <w:rFonts w:ascii="方正大标宋简体" w:eastAsia="方正大标宋简体" w:hAnsi="Times New Roman"/>
          <w:sz w:val="42"/>
          <w:szCs w:val="42"/>
        </w:rPr>
        <w:t>上海期货交易所胶版印刷纸期货合约附件</w:t>
      </w:r>
    </w:p>
    <w:p w:rsidR="000F000C" w:rsidRDefault="000F000C">
      <w:pPr>
        <w:spacing w:line="560" w:lineRule="exact"/>
        <w:ind w:firstLineChars="200" w:firstLine="720"/>
        <w:rPr>
          <w:rFonts w:ascii="方正大标宋简体" w:eastAsia="方正大标宋简体" w:hAnsi="Times New Roman"/>
          <w:sz w:val="36"/>
          <w:szCs w:val="28"/>
        </w:rPr>
      </w:pPr>
    </w:p>
    <w:p w:rsidR="000F000C" w:rsidRDefault="009055CB">
      <w:pPr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>
        <w:rPr>
          <w:rFonts w:ascii="Times New Roman" w:eastAsia="方正黑体简体" w:hAnsi="Times New Roman"/>
          <w:sz w:val="30"/>
          <w:szCs w:val="30"/>
        </w:rPr>
        <w:t>一、交割单位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胶版印刷纸期货合约的交易单位为每手</w:t>
      </w:r>
      <w:r>
        <w:rPr>
          <w:rFonts w:ascii="Times New Roman" w:eastAsia="方正仿宋简体" w:hAnsi="Times New Roman" w:hint="eastAsia"/>
          <w:sz w:val="30"/>
          <w:szCs w:val="30"/>
        </w:rPr>
        <w:t>4</w:t>
      </w:r>
      <w:r>
        <w:rPr>
          <w:rFonts w:ascii="Times New Roman" w:eastAsia="方正仿宋简体" w:hAnsi="Times New Roman"/>
          <w:sz w:val="30"/>
          <w:szCs w:val="30"/>
        </w:rPr>
        <w:t>0</w:t>
      </w:r>
      <w:r>
        <w:rPr>
          <w:rFonts w:ascii="Times New Roman" w:eastAsia="方正仿宋简体" w:hAnsi="Times New Roman"/>
          <w:sz w:val="30"/>
          <w:szCs w:val="30"/>
        </w:rPr>
        <w:t>吨，交割单位为每一标准仓单</w:t>
      </w:r>
      <w:r>
        <w:rPr>
          <w:rFonts w:ascii="Times New Roman" w:eastAsia="方正仿宋简体" w:hAnsi="Times New Roman" w:hint="eastAsia"/>
          <w:sz w:val="30"/>
          <w:szCs w:val="30"/>
        </w:rPr>
        <w:t>4</w:t>
      </w:r>
      <w:r>
        <w:rPr>
          <w:rFonts w:ascii="Times New Roman" w:eastAsia="方正仿宋简体" w:hAnsi="Times New Roman"/>
          <w:sz w:val="30"/>
          <w:szCs w:val="30"/>
        </w:rPr>
        <w:t>0</w:t>
      </w:r>
      <w:r>
        <w:rPr>
          <w:rFonts w:ascii="Times New Roman" w:eastAsia="方正仿宋简体" w:hAnsi="Times New Roman"/>
          <w:sz w:val="30"/>
          <w:szCs w:val="30"/>
        </w:rPr>
        <w:t>吨，交割应当以每一标准仓单的整数倍交割。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>
        <w:rPr>
          <w:rFonts w:ascii="Times New Roman" w:eastAsia="方正黑体简体" w:hAnsi="Times New Roman"/>
          <w:sz w:val="30"/>
          <w:szCs w:val="30"/>
        </w:rPr>
        <w:t>二、质量规定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1</w:t>
      </w:r>
      <w:r>
        <w:rPr>
          <w:rFonts w:ascii="Times New Roman" w:eastAsia="方正仿宋简体" w:hAnsi="Times New Roman"/>
          <w:sz w:val="30"/>
          <w:szCs w:val="30"/>
        </w:rPr>
        <w:t>、</w:t>
      </w:r>
      <w:bookmarkStart w:id="1" w:name="_Hlk173950663"/>
      <w:r>
        <w:rPr>
          <w:rFonts w:ascii="Times New Roman" w:eastAsia="方正仿宋简体" w:hAnsi="Times New Roman"/>
          <w:sz w:val="30"/>
          <w:szCs w:val="30"/>
        </w:rPr>
        <w:t>用于实物交割的胶版印刷纸，应当为定量</w:t>
      </w:r>
      <w:r>
        <w:rPr>
          <w:rFonts w:ascii="Times New Roman" w:eastAsia="方正仿宋简体" w:hAnsi="Times New Roman"/>
          <w:sz w:val="30"/>
          <w:szCs w:val="30"/>
        </w:rPr>
        <w:t>65g/m</w:t>
      </w:r>
      <w:r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70g/m</w:t>
      </w:r>
      <w:r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75g/m</w:t>
      </w:r>
      <w:r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80g/m</w:t>
      </w:r>
      <w:r>
        <w:rPr>
          <w:rFonts w:ascii="Times New Roman" w:eastAsia="方正仿宋简体" w:hAnsi="Times New Roman"/>
          <w:sz w:val="30"/>
          <w:szCs w:val="30"/>
          <w:vertAlign w:val="superscript"/>
        </w:rPr>
        <w:t>2</w:t>
      </w:r>
      <w:r>
        <w:rPr>
          <w:rFonts w:ascii="Times New Roman" w:eastAsia="方正仿宋简体" w:hAnsi="Times New Roman"/>
          <w:sz w:val="30"/>
          <w:szCs w:val="30"/>
        </w:rPr>
        <w:t>的双面胶版印刷纸（以下简称双胶纸），厚度应当为</w:t>
      </w:r>
      <w:r>
        <w:rPr>
          <w:rFonts w:ascii="Times New Roman" w:eastAsia="方正仿宋简体" w:hAnsi="Times New Roman"/>
          <w:sz w:val="30"/>
          <w:szCs w:val="30"/>
        </w:rPr>
        <w:t>82</w:t>
      </w:r>
      <w:r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>
        <w:rPr>
          <w:rFonts w:ascii="Times New Roman" w:eastAsia="方正仿宋简体" w:hAnsi="Times New Roman"/>
          <w:sz w:val="30"/>
          <w:szCs w:val="30"/>
        </w:rPr>
        <w:t>m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88</w:t>
      </w:r>
      <w:r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>
        <w:rPr>
          <w:rFonts w:ascii="Times New Roman" w:eastAsia="方正仿宋简体" w:hAnsi="Times New Roman"/>
          <w:sz w:val="30"/>
          <w:szCs w:val="30"/>
        </w:rPr>
        <w:t>m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94</w:t>
      </w:r>
      <w:r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>
        <w:rPr>
          <w:rFonts w:ascii="Times New Roman" w:eastAsia="方正仿宋简体" w:hAnsi="Times New Roman"/>
          <w:sz w:val="30"/>
          <w:szCs w:val="30"/>
        </w:rPr>
        <w:t>m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100</w:t>
      </w:r>
      <w:r>
        <w:rPr>
          <w:rFonts w:ascii="Times New Roman" w:eastAsia="方正仿宋简体" w:hAnsi="Times New Roman"/>
          <w:sz w:val="30"/>
          <w:szCs w:val="30"/>
          <w:lang w:val="el-GR"/>
        </w:rPr>
        <w:t>μ</w:t>
      </w:r>
      <w:r>
        <w:rPr>
          <w:rFonts w:ascii="Times New Roman" w:eastAsia="方正仿宋简体" w:hAnsi="Times New Roman"/>
          <w:sz w:val="30"/>
          <w:szCs w:val="30"/>
        </w:rPr>
        <w:t>m</w:t>
      </w:r>
      <w:r>
        <w:rPr>
          <w:rFonts w:ascii="Times New Roman" w:eastAsia="方正仿宋简体" w:hAnsi="Times New Roman"/>
          <w:sz w:val="30"/>
          <w:szCs w:val="30"/>
        </w:rPr>
        <w:t>，其定量偏差、厚度偏差、不透明度、吸水性</w:t>
      </w:r>
      <w:r>
        <w:rPr>
          <w:rFonts w:ascii="Times New Roman" w:eastAsia="方正仿宋简体" w:hAnsi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/>
          <w:sz w:val="30"/>
          <w:szCs w:val="30"/>
        </w:rPr>
        <w:t>正反面均</w:t>
      </w:r>
      <w:r>
        <w:rPr>
          <w:rFonts w:ascii="Times New Roman" w:eastAsia="方正仿宋简体" w:hAnsi="Times New Roman" w:hint="eastAsia"/>
          <w:sz w:val="30"/>
          <w:szCs w:val="30"/>
        </w:rPr>
        <w:t>）</w:t>
      </w:r>
      <w:r>
        <w:rPr>
          <w:rFonts w:ascii="Times New Roman" w:eastAsia="方正仿宋简体" w:hAnsi="Times New Roman"/>
          <w:sz w:val="30"/>
          <w:szCs w:val="30"/>
        </w:rPr>
        <w:t>、抗张指数、平滑度</w:t>
      </w:r>
      <w:r>
        <w:rPr>
          <w:rFonts w:ascii="Times New Roman" w:eastAsia="方正仿宋简体" w:hAnsi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/>
          <w:sz w:val="30"/>
          <w:szCs w:val="30"/>
        </w:rPr>
        <w:t>正反面均</w:t>
      </w:r>
      <w:r>
        <w:rPr>
          <w:rFonts w:ascii="Times New Roman" w:eastAsia="方正仿宋简体" w:hAnsi="Times New Roman" w:hint="eastAsia"/>
          <w:sz w:val="30"/>
          <w:szCs w:val="30"/>
        </w:rPr>
        <w:t>）</w:t>
      </w:r>
      <w:r>
        <w:rPr>
          <w:rFonts w:ascii="Times New Roman" w:eastAsia="方正仿宋简体" w:hAnsi="Times New Roman"/>
          <w:sz w:val="30"/>
          <w:szCs w:val="30"/>
        </w:rPr>
        <w:t>、平滑度（两面差）、横向伸缩性等技术指标应当符合或者优于</w:t>
      </w:r>
      <w:r>
        <w:rPr>
          <w:rFonts w:ascii="Times New Roman" w:eastAsia="方正仿宋简体" w:hAnsi="Times New Roman"/>
          <w:sz w:val="30"/>
          <w:szCs w:val="30"/>
        </w:rPr>
        <w:t>GB/T 30130-2023</w:t>
      </w:r>
      <w:r>
        <w:rPr>
          <w:rFonts w:ascii="Times New Roman" w:eastAsia="方正仿宋简体" w:hAnsi="Times New Roman"/>
          <w:sz w:val="30"/>
          <w:szCs w:val="30"/>
        </w:rPr>
        <w:t>《胶版印刷纸》中优等品规定，</w:t>
      </w:r>
      <w:r>
        <w:rPr>
          <w:rFonts w:ascii="Times New Roman" w:eastAsia="方正仿宋简体" w:hAnsi="Times New Roman"/>
          <w:sz w:val="30"/>
          <w:szCs w:val="30"/>
        </w:rPr>
        <w:t>D65</w:t>
      </w:r>
      <w:r>
        <w:rPr>
          <w:rFonts w:ascii="Times New Roman" w:eastAsia="方正仿宋简体" w:hAnsi="Times New Roman"/>
          <w:sz w:val="30"/>
          <w:szCs w:val="30"/>
        </w:rPr>
        <w:t>亮度指标应当为</w:t>
      </w:r>
      <w:r>
        <w:rPr>
          <w:rFonts w:ascii="Times New Roman" w:eastAsia="方正仿宋简体" w:hAnsi="Times New Roman"/>
          <w:sz w:val="30"/>
          <w:szCs w:val="30"/>
        </w:rPr>
        <w:t>80.0%</w:t>
      </w:r>
      <w:r>
        <w:rPr>
          <w:rFonts w:ascii="Times New Roman" w:eastAsia="方正仿宋简体" w:hAnsi="Times New Roman"/>
          <w:sz w:val="30"/>
          <w:szCs w:val="30"/>
        </w:rPr>
        <w:t>～</w:t>
      </w:r>
      <w:r>
        <w:rPr>
          <w:rFonts w:ascii="Times New Roman" w:eastAsia="方正仿宋简体" w:hAnsi="Times New Roman"/>
          <w:sz w:val="30"/>
          <w:szCs w:val="30"/>
        </w:rPr>
        <w:t>85.0%</w:t>
      </w:r>
      <w:r>
        <w:rPr>
          <w:rFonts w:ascii="Times New Roman" w:eastAsia="方正仿宋简体" w:hAnsi="Times New Roman"/>
          <w:sz w:val="30"/>
          <w:szCs w:val="30"/>
        </w:rPr>
        <w:t>，横向耐折度指标应当符合</w:t>
      </w:r>
      <w:r>
        <w:rPr>
          <w:rFonts w:ascii="Times New Roman" w:eastAsia="方正仿宋简体" w:hAnsi="Times New Roman" w:hint="eastAsia"/>
          <w:sz w:val="30"/>
          <w:szCs w:val="30"/>
        </w:rPr>
        <w:t>或者</w:t>
      </w:r>
      <w:r>
        <w:rPr>
          <w:rFonts w:ascii="Times New Roman" w:eastAsia="方正仿宋简体" w:hAnsi="Times New Roman"/>
          <w:sz w:val="30"/>
          <w:szCs w:val="30"/>
        </w:rPr>
        <w:t>优于合格品规定。</w:t>
      </w:r>
    </w:p>
    <w:bookmarkEnd w:id="1"/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2</w:t>
      </w:r>
      <w:r>
        <w:rPr>
          <w:rFonts w:ascii="Times New Roman" w:eastAsia="方正仿宋简体" w:hAnsi="Times New Roman"/>
          <w:sz w:val="30"/>
          <w:szCs w:val="30"/>
        </w:rPr>
        <w:t>、交割双胶纸为宽度</w:t>
      </w:r>
      <w:r>
        <w:rPr>
          <w:rFonts w:ascii="Times New Roman" w:eastAsia="方正仿宋简体" w:hAnsi="Times New Roman"/>
          <w:sz w:val="30"/>
          <w:szCs w:val="30"/>
        </w:rPr>
        <w:t>780mm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787mm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880mm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/>
          <w:sz w:val="30"/>
          <w:szCs w:val="30"/>
        </w:rPr>
        <w:t>889mm</w:t>
      </w:r>
      <w:r>
        <w:rPr>
          <w:rFonts w:ascii="Times New Roman" w:eastAsia="方正仿宋简体" w:hAnsi="Times New Roman"/>
          <w:sz w:val="30"/>
          <w:szCs w:val="30"/>
        </w:rPr>
        <w:t>的卷筒纸，</w:t>
      </w:r>
      <w:r>
        <w:rPr>
          <w:rFonts w:ascii="Times New Roman" w:eastAsia="方正仿宋简体" w:hAnsi="Times New Roman" w:hint="eastAsia"/>
          <w:sz w:val="30"/>
          <w:szCs w:val="30"/>
        </w:rPr>
        <w:t>尺寸</w:t>
      </w:r>
      <w:r>
        <w:rPr>
          <w:rFonts w:ascii="Times New Roman" w:eastAsia="方正仿宋简体" w:hAnsi="Times New Roman"/>
          <w:sz w:val="30"/>
          <w:szCs w:val="30"/>
        </w:rPr>
        <w:t>偏差应当不超</w:t>
      </w:r>
      <w:r>
        <w:rPr>
          <w:rFonts w:ascii="Times New Roman" w:eastAsia="方正仿宋简体" w:hAnsi="Times New Roman" w:hint="eastAsia"/>
          <w:sz w:val="30"/>
          <w:szCs w:val="30"/>
        </w:rPr>
        <w:t>过</w:t>
      </w:r>
      <w:r>
        <w:rPr>
          <w:rFonts w:ascii="Times New Roman" w:eastAsia="方正仿宋简体" w:hAnsi="Times New Roman"/>
          <w:sz w:val="30"/>
          <w:szCs w:val="30"/>
        </w:rPr>
        <w:t>±3mm</w:t>
      </w:r>
      <w:r>
        <w:rPr>
          <w:rFonts w:ascii="Times New Roman" w:eastAsia="方正仿宋简体" w:hAnsi="Times New Roman"/>
          <w:sz w:val="30"/>
          <w:szCs w:val="30"/>
        </w:rPr>
        <w:t>。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3</w:t>
      </w:r>
      <w:r>
        <w:rPr>
          <w:rFonts w:ascii="Times New Roman" w:eastAsia="方正仿宋简体" w:hAnsi="Times New Roman"/>
          <w:sz w:val="30"/>
          <w:szCs w:val="30"/>
        </w:rPr>
        <w:t>、每一标准仓单的双胶纸，应当是交易所认证的商品。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4</w:t>
      </w:r>
      <w:r>
        <w:rPr>
          <w:rFonts w:ascii="Times New Roman" w:eastAsia="方正仿宋简体" w:hAnsi="Times New Roman"/>
          <w:sz w:val="30"/>
          <w:szCs w:val="30"/>
        </w:rPr>
        <w:t>、每一标准仓单的双胶纸，应当是同一生产企业生产、同一品牌、同一定量、同一宽度的商品组成。组成每一标准仓单的双胶纸的生产日期应当不超过连续</w:t>
      </w:r>
      <w:r>
        <w:rPr>
          <w:rFonts w:ascii="Times New Roman" w:eastAsia="方正仿宋简体" w:hAnsi="Times New Roman"/>
          <w:sz w:val="30"/>
          <w:szCs w:val="30"/>
        </w:rPr>
        <w:t>15</w:t>
      </w:r>
      <w:r>
        <w:rPr>
          <w:rFonts w:ascii="Times New Roman" w:eastAsia="方正仿宋简体" w:hAnsi="Times New Roman"/>
          <w:sz w:val="30"/>
          <w:szCs w:val="30"/>
        </w:rPr>
        <w:t>日。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5</w:t>
      </w:r>
      <w:r>
        <w:rPr>
          <w:rFonts w:ascii="Times New Roman" w:eastAsia="方正仿宋简体" w:hAnsi="Times New Roman"/>
          <w:sz w:val="30"/>
          <w:szCs w:val="30"/>
        </w:rPr>
        <w:t>、双胶纸交割以包装标识重量计重。每一标准仓单的溢短不超过</w:t>
      </w:r>
      <w:r>
        <w:rPr>
          <w:rFonts w:ascii="Times New Roman" w:eastAsia="方正仿宋简体" w:hAnsi="Times New Roman"/>
          <w:sz w:val="30"/>
          <w:szCs w:val="30"/>
        </w:rPr>
        <w:t>±</w:t>
      </w:r>
      <w:r>
        <w:rPr>
          <w:rFonts w:ascii="Times New Roman" w:eastAsia="方正仿宋简体" w:hAnsi="Times New Roman" w:hint="eastAsia"/>
          <w:sz w:val="30"/>
          <w:szCs w:val="30"/>
        </w:rPr>
        <w:t>1.5</w:t>
      </w:r>
      <w:r>
        <w:rPr>
          <w:rFonts w:ascii="Times New Roman" w:eastAsia="方正仿宋简体" w:hAnsi="Times New Roman"/>
          <w:sz w:val="30"/>
          <w:szCs w:val="30"/>
        </w:rPr>
        <w:t>%</w:t>
      </w:r>
      <w:r>
        <w:rPr>
          <w:rFonts w:ascii="Times New Roman" w:eastAsia="方正仿宋简体" w:hAnsi="Times New Roman"/>
          <w:sz w:val="30"/>
          <w:szCs w:val="30"/>
        </w:rPr>
        <w:t>。每一标准仓单应当载明重量和卷数。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黑体简体" w:hAnsi="Times New Roman"/>
          <w:sz w:val="30"/>
          <w:szCs w:val="30"/>
        </w:rPr>
        <w:t>三、交易所认证商品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用于实物交割的双胶纸，应当是交易所认证的商品。具体的生产企业和品牌由交易所另行规定并公告。</w:t>
      </w:r>
    </w:p>
    <w:p w:rsidR="000F000C" w:rsidRDefault="009055CB">
      <w:pPr>
        <w:spacing w:line="560" w:lineRule="exact"/>
        <w:ind w:firstLineChars="200" w:firstLine="600"/>
        <w:rPr>
          <w:rFonts w:ascii="Times New Roman" w:eastAsia="方正黑体简体" w:hAnsi="Times New Roman"/>
          <w:sz w:val="30"/>
          <w:szCs w:val="30"/>
        </w:rPr>
      </w:pPr>
      <w:r>
        <w:rPr>
          <w:rFonts w:ascii="Times New Roman" w:eastAsia="方正黑体简体" w:hAnsi="Times New Roman"/>
          <w:sz w:val="30"/>
          <w:szCs w:val="30"/>
        </w:rPr>
        <w:t>四、交割库</w:t>
      </w:r>
    </w:p>
    <w:p w:rsidR="000F000C" w:rsidRDefault="009055CB">
      <w:pPr>
        <w:widowControl/>
        <w:spacing w:line="560" w:lineRule="exact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交割库由交易所另行公告，异地交割库升贴水标准由交易所规定并公告。</w:t>
      </w:r>
    </w:p>
    <w:p w:rsidR="006A1C03" w:rsidRDefault="006A1C03" w:rsidP="006A1C03">
      <w:pPr>
        <w:widowControl/>
        <w:spacing w:line="240" w:lineRule="exact"/>
        <w:jc w:val="left"/>
        <w:rPr>
          <w:rFonts w:ascii="Times New Roman" w:eastAsia="方正仿宋简体" w:hAnsi="Times New Roman"/>
          <w:sz w:val="30"/>
          <w:szCs w:val="30"/>
        </w:rPr>
      </w:pPr>
      <w:bookmarkStart w:id="2" w:name="_GoBack"/>
      <w:bookmarkEnd w:id="2"/>
    </w:p>
    <w:sectPr w:rsidR="006A1C03" w:rsidSect="00963EA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87" w:rsidRDefault="009A4387">
      <w:r>
        <w:separator/>
      </w:r>
    </w:p>
  </w:endnote>
  <w:endnote w:type="continuationSeparator" w:id="0">
    <w:p w:rsidR="009A4387" w:rsidRDefault="009A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0C" w:rsidRPr="00963EAF" w:rsidRDefault="009055CB">
    <w:pPr>
      <w:pStyle w:val="a4"/>
      <w:jc w:val="center"/>
      <w:rPr>
        <w:rFonts w:ascii="Times New Roman" w:hAnsi="Times New Roman"/>
        <w:sz w:val="24"/>
        <w:szCs w:val="24"/>
      </w:rPr>
    </w:pPr>
    <w:r w:rsidRPr="00963EAF">
      <w:rPr>
        <w:rFonts w:ascii="Times New Roman" w:hAnsi="Times New Roman"/>
        <w:sz w:val="24"/>
        <w:szCs w:val="24"/>
      </w:rPr>
      <w:fldChar w:fldCharType="begin"/>
    </w:r>
    <w:r w:rsidRPr="00963EAF">
      <w:rPr>
        <w:rFonts w:ascii="Times New Roman" w:hAnsi="Times New Roman"/>
        <w:sz w:val="24"/>
        <w:szCs w:val="24"/>
      </w:rPr>
      <w:instrText>PAGE   \* MERGEFORMAT</w:instrText>
    </w:r>
    <w:r w:rsidRPr="00963EAF">
      <w:rPr>
        <w:rFonts w:ascii="Times New Roman" w:hAnsi="Times New Roman"/>
        <w:sz w:val="24"/>
        <w:szCs w:val="24"/>
      </w:rPr>
      <w:fldChar w:fldCharType="separate"/>
    </w:r>
    <w:r w:rsidR="009A4387" w:rsidRPr="009A4387">
      <w:rPr>
        <w:rFonts w:ascii="Times New Roman" w:hAnsi="Times New Roman"/>
        <w:noProof/>
        <w:sz w:val="24"/>
        <w:szCs w:val="24"/>
        <w:lang w:val="zh-CN"/>
      </w:rPr>
      <w:t>-</w:t>
    </w:r>
    <w:r w:rsidR="009A4387">
      <w:rPr>
        <w:rFonts w:ascii="Times New Roman" w:hAnsi="Times New Roman"/>
        <w:noProof/>
        <w:sz w:val="24"/>
        <w:szCs w:val="24"/>
      </w:rPr>
      <w:t xml:space="preserve"> 1 -</w:t>
    </w:r>
    <w:r w:rsidRPr="00963EAF">
      <w:rPr>
        <w:rFonts w:ascii="Times New Roman" w:hAnsi="Times New Roman"/>
        <w:sz w:val="24"/>
        <w:szCs w:val="24"/>
      </w:rPr>
      <w:fldChar w:fldCharType="end"/>
    </w:r>
  </w:p>
  <w:p w:rsidR="000F000C" w:rsidRDefault="000F000C">
    <w:pPr>
      <w:pStyle w:val="a4"/>
    </w:pPr>
  </w:p>
  <w:p w:rsidR="000F000C" w:rsidRDefault="000F00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87" w:rsidRDefault="009A4387">
      <w:r>
        <w:separator/>
      </w:r>
    </w:p>
  </w:footnote>
  <w:footnote w:type="continuationSeparator" w:id="0">
    <w:p w:rsidR="009A4387" w:rsidRDefault="009A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7322B"/>
    <w:multiLevelType w:val="multilevel"/>
    <w:tmpl w:val="3E67322B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AE222EB"/>
    <w:multiLevelType w:val="multilevel"/>
    <w:tmpl w:val="6AE222EB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D211D"/>
    <w:multiLevelType w:val="hybridMultilevel"/>
    <w:tmpl w:val="43B8799A"/>
    <w:lvl w:ilvl="0" w:tplc="9D345498">
      <w:start w:val="2"/>
      <w:numFmt w:val="decimalFullWidth"/>
      <w:lvlText w:val="%1．"/>
      <w:lvlJc w:val="left"/>
      <w:pPr>
        <w:ind w:left="22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00"/>
    <w:rsid w:val="ADF7B7E3"/>
    <w:rsid w:val="DFF7BD3C"/>
    <w:rsid w:val="FBBF9E18"/>
    <w:rsid w:val="FECE558D"/>
    <w:rsid w:val="00023546"/>
    <w:rsid w:val="00023DE4"/>
    <w:rsid w:val="000460AE"/>
    <w:rsid w:val="000A369C"/>
    <w:rsid w:val="000B5315"/>
    <w:rsid w:val="000E39C2"/>
    <w:rsid w:val="000F000C"/>
    <w:rsid w:val="000F2031"/>
    <w:rsid w:val="001111A3"/>
    <w:rsid w:val="00117D6C"/>
    <w:rsid w:val="00131192"/>
    <w:rsid w:val="00131C2C"/>
    <w:rsid w:val="001538F5"/>
    <w:rsid w:val="001867A2"/>
    <w:rsid w:val="001B678C"/>
    <w:rsid w:val="002679D6"/>
    <w:rsid w:val="002730BA"/>
    <w:rsid w:val="002F32A2"/>
    <w:rsid w:val="00312831"/>
    <w:rsid w:val="00316154"/>
    <w:rsid w:val="00322C7A"/>
    <w:rsid w:val="003339AA"/>
    <w:rsid w:val="00477D79"/>
    <w:rsid w:val="0048371D"/>
    <w:rsid w:val="00487CC9"/>
    <w:rsid w:val="004C7358"/>
    <w:rsid w:val="004D0003"/>
    <w:rsid w:val="0051115E"/>
    <w:rsid w:val="005C4FD0"/>
    <w:rsid w:val="006663DB"/>
    <w:rsid w:val="00687E3C"/>
    <w:rsid w:val="006A1C03"/>
    <w:rsid w:val="006E4F7F"/>
    <w:rsid w:val="007111C1"/>
    <w:rsid w:val="00752C59"/>
    <w:rsid w:val="007B6DF3"/>
    <w:rsid w:val="008372C3"/>
    <w:rsid w:val="0087141A"/>
    <w:rsid w:val="00882C2B"/>
    <w:rsid w:val="008B526C"/>
    <w:rsid w:val="009055CB"/>
    <w:rsid w:val="00963EAF"/>
    <w:rsid w:val="00965C29"/>
    <w:rsid w:val="009715FB"/>
    <w:rsid w:val="00976909"/>
    <w:rsid w:val="009A4387"/>
    <w:rsid w:val="009D56AC"/>
    <w:rsid w:val="00A06478"/>
    <w:rsid w:val="00A1034B"/>
    <w:rsid w:val="00B64A0A"/>
    <w:rsid w:val="00B73C97"/>
    <w:rsid w:val="00B96F00"/>
    <w:rsid w:val="00BB183A"/>
    <w:rsid w:val="00C06DCC"/>
    <w:rsid w:val="00C51E2A"/>
    <w:rsid w:val="00C53C49"/>
    <w:rsid w:val="00CA3B06"/>
    <w:rsid w:val="00D03CE9"/>
    <w:rsid w:val="00D25D8A"/>
    <w:rsid w:val="00D3758A"/>
    <w:rsid w:val="00DB7DF2"/>
    <w:rsid w:val="00E33C11"/>
    <w:rsid w:val="00E505D6"/>
    <w:rsid w:val="00E8798D"/>
    <w:rsid w:val="00E92E45"/>
    <w:rsid w:val="00EC17D8"/>
    <w:rsid w:val="00FA174C"/>
    <w:rsid w:val="00FC3937"/>
    <w:rsid w:val="00FC5413"/>
    <w:rsid w:val="00FC7D8F"/>
    <w:rsid w:val="06FF4FD2"/>
    <w:rsid w:val="5FB7FA9C"/>
    <w:rsid w:val="6F7F1310"/>
    <w:rsid w:val="7DF30769"/>
    <w:rsid w:val="7F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60943-D884-497D-AFF1-A776024A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link w:val="Char2"/>
    <w:uiPriority w:val="34"/>
    <w:qFormat/>
    <w:pPr>
      <w:ind w:firstLineChars="200" w:firstLine="420"/>
    </w:pPr>
  </w:style>
  <w:style w:type="character" w:customStyle="1" w:styleId="Char2">
    <w:name w:val="列出段落 Char"/>
    <w:link w:val="a6"/>
    <w:uiPriority w:val="34"/>
    <w:qFormat/>
    <w:locked/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963EAF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963EAF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</Words>
  <Characters>859</Characters>
  <Application>Microsoft Office Word</Application>
  <DocSecurity>0</DocSecurity>
  <Lines>7</Lines>
  <Paragraphs>2</Paragraphs>
  <ScaleCrop>false</ScaleCrop>
  <Company>SHFE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叶勇</dc:creator>
  <cp:lastModifiedBy>shfe</cp:lastModifiedBy>
  <cp:revision>3</cp:revision>
  <cp:lastPrinted>2025-08-15T09:09:00Z</cp:lastPrinted>
  <dcterms:created xsi:type="dcterms:W3CDTF">2025-08-18T07:43:00Z</dcterms:created>
  <dcterms:modified xsi:type="dcterms:W3CDTF">2025-08-18T07:49:00Z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CA6E1A86046EF8FC6F4B9068EAA9EF81</vt:lpwstr>
  </property>
</Properties>
</file>