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22"/>
        </w:rPr>
      </w:pPr>
      <w:r>
        <w:rPr>
          <w:rFonts w:hint="eastAsia" w:ascii="黑体" w:hAnsi="黑体" w:eastAsia="黑体" w:cs="Times New Roman"/>
          <w:sz w:val="32"/>
          <w:szCs w:val="22"/>
        </w:rPr>
        <w:t>附  件</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申报费计费说明</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一、适用对象</w:t>
      </w:r>
    </w:p>
    <w:p>
      <w:pPr>
        <w:spacing w:line="360" w:lineRule="auto"/>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在实施申报费的品种上，每日信息量达到一定标准的客户或非期货公司会员。其中，做市商做市交易免收申报费。</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二、</w:t>
      </w:r>
      <w:r>
        <w:rPr>
          <w:rFonts w:hint="eastAsia" w:eastAsia="黑体" w:cs="Times New Roman"/>
          <w:sz w:val="32"/>
          <w:szCs w:val="22"/>
          <w:lang w:eastAsia="zh-CN"/>
        </w:rPr>
        <w:t>期货品种申报费</w:t>
      </w:r>
      <w:r>
        <w:rPr>
          <w:rFonts w:hint="eastAsia" w:ascii="Times New Roman" w:hAnsi="Times New Roman" w:eastAsia="黑体" w:cs="Times New Roman"/>
          <w:sz w:val="32"/>
          <w:szCs w:val="22"/>
        </w:rPr>
        <w:t>收费公式</w:t>
      </w:r>
    </w:p>
    <w:p>
      <w:pPr>
        <w:spacing w:line="360" w:lineRule="auto"/>
        <w:ind w:firstLine="640" w:firstLineChars="200"/>
        <w:rPr>
          <w:rFonts w:ascii="Times New Roman" w:hAnsi="Times New Roman" w:eastAsia="仿宋" w:cs="Times New Roman"/>
          <w:sz w:val="32"/>
          <w:szCs w:val="32"/>
        </w:rPr>
      </w:pPr>
      <w:r>
        <w:rPr>
          <w:rFonts w:hint="eastAsia" w:eastAsia="仿宋" w:cs="Times New Roman"/>
          <w:sz w:val="32"/>
          <w:szCs w:val="32"/>
          <w:lang w:eastAsia="zh-CN"/>
        </w:rPr>
        <w:t>期货品种</w:t>
      </w:r>
      <w:r>
        <w:rPr>
          <w:rFonts w:hint="eastAsia" w:ascii="Times New Roman" w:hAnsi="Times New Roman" w:eastAsia="仿宋" w:cs="Times New Roman"/>
          <w:sz w:val="32"/>
          <w:szCs w:val="32"/>
        </w:rPr>
        <w:t>申报费根据客户或非期货公司会员在</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合约上的报单成交比（</w:t>
      </w:r>
      <w:r>
        <w:rPr>
          <w:rFonts w:ascii="Times New Roman" w:hAnsi="Times New Roman" w:eastAsia="仿宋" w:cs="Times New Roman"/>
          <w:sz w:val="32"/>
          <w:szCs w:val="32"/>
        </w:rPr>
        <w:t>Order to Trade Ratio</w:t>
      </w:r>
      <w:r>
        <w:rPr>
          <w:rFonts w:hint="eastAsia" w:ascii="Times New Roman" w:hAnsi="Times New Roman" w:eastAsia="仿宋" w:cs="Times New Roman"/>
          <w:sz w:val="32"/>
          <w:szCs w:val="32"/>
        </w:rPr>
        <w:t>，</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）所在区间以及信息量分梯度计算，按日收取。</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客户或非期货公司会员在某个</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合约上的申报费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客户或非期货公司会员在该</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合约上各档位的信息量×相应费率</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报单、撤单等交易指令笔数之和；报单成交比（</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有成交的定单笔数）</w:t>
      </w:r>
      <w:r>
        <w:rPr>
          <w:rFonts w:ascii="Times New Roman" w:hAnsi="Times New Roman" w:eastAsia="仿宋" w:cs="Times New Roman"/>
          <w:sz w:val="32"/>
          <w:szCs w:val="32"/>
        </w:rPr>
        <w:t>- 1</w:t>
      </w:r>
      <w:r>
        <w:rPr>
          <w:rFonts w:hint="eastAsia" w:ascii="Times New Roman" w:hAnsi="Times New Roman" w:eastAsia="仿宋" w:cs="Times New Roman"/>
          <w:sz w:val="32"/>
          <w:szCs w:val="32"/>
        </w:rPr>
        <w:t>。</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若客户或非期货公司会员某日在某</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合约上有信息量但无成交，则当日在该</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合约上其报单成交比视为大于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p>
    <w:p>
      <w:pPr>
        <w:spacing w:line="360" w:lineRule="auto"/>
        <w:ind w:firstLine="640" w:firstLineChars="200"/>
        <w:outlineLvl w:val="0"/>
        <w:rPr>
          <w:rFonts w:ascii="Times New Roman" w:hAnsi="Times New Roman" w:eastAsia="黑体" w:cs="Times New Roman"/>
          <w:sz w:val="32"/>
          <w:szCs w:val="22"/>
        </w:rPr>
      </w:pPr>
      <w:r>
        <w:rPr>
          <w:rFonts w:hint="eastAsia" w:eastAsia="黑体" w:cs="Times New Roman"/>
          <w:sz w:val="32"/>
          <w:szCs w:val="22"/>
          <w:lang w:eastAsia="zh-CN"/>
        </w:rPr>
        <w:t>三</w:t>
      </w:r>
      <w:r>
        <w:rPr>
          <w:rFonts w:hint="eastAsia" w:ascii="Times New Roman" w:hAnsi="Times New Roman" w:eastAsia="黑体" w:cs="Times New Roman"/>
          <w:sz w:val="32"/>
          <w:szCs w:val="22"/>
        </w:rPr>
        <w:t>、</w:t>
      </w:r>
      <w:r>
        <w:rPr>
          <w:rFonts w:hint="eastAsia" w:eastAsia="黑体" w:cs="Times New Roman"/>
          <w:sz w:val="32"/>
          <w:szCs w:val="22"/>
          <w:lang w:eastAsia="zh-CN"/>
        </w:rPr>
        <w:t>期权品种申报费</w:t>
      </w:r>
      <w:r>
        <w:rPr>
          <w:rFonts w:hint="eastAsia" w:ascii="Times New Roman" w:hAnsi="Times New Roman" w:eastAsia="黑体" w:cs="Times New Roman"/>
          <w:sz w:val="32"/>
          <w:szCs w:val="22"/>
        </w:rPr>
        <w:t>收费公式</w:t>
      </w:r>
    </w:p>
    <w:p>
      <w:pPr>
        <w:spacing w:line="360" w:lineRule="auto"/>
        <w:ind w:firstLine="640" w:firstLineChars="200"/>
        <w:rPr>
          <w:rFonts w:ascii="Times New Roman" w:hAnsi="Times New Roman" w:eastAsia="仿宋" w:cs="Times New Roman"/>
          <w:sz w:val="32"/>
          <w:szCs w:val="32"/>
        </w:rPr>
      </w:pPr>
      <w:r>
        <w:rPr>
          <w:rFonts w:hint="eastAsia" w:eastAsia="仿宋" w:cs="Times New Roman"/>
          <w:sz w:val="32"/>
          <w:szCs w:val="32"/>
          <w:lang w:eastAsia="zh-CN"/>
        </w:rPr>
        <w:t>期权</w:t>
      </w:r>
      <w:r>
        <w:rPr>
          <w:rFonts w:hint="eastAsia" w:ascii="Times New Roman" w:hAnsi="Times New Roman" w:eastAsia="仿宋" w:cs="Times New Roman"/>
          <w:sz w:val="32"/>
          <w:szCs w:val="32"/>
        </w:rPr>
        <w:t>申报费根据客户或非期货公司会员在合约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上的报单成交比所在区间以及信息量分梯度计算，按日收取。</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客户或非期货公司会员在某个</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上的申报费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客户或非期货公司会员在该合约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上各档位的信息量×相应费率</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报单、撤单</w:t>
      </w:r>
      <w:r>
        <w:rPr>
          <w:rFonts w:hint="eastAsia" w:eastAsia="仿宋" w:cs="Times New Roman"/>
          <w:sz w:val="32"/>
          <w:szCs w:val="32"/>
          <w:lang w:eastAsia="zh-CN"/>
        </w:rPr>
        <w:t>、询价</w:t>
      </w:r>
      <w:r>
        <w:rPr>
          <w:rFonts w:hint="eastAsia" w:ascii="Times New Roman" w:hAnsi="Times New Roman" w:eastAsia="仿宋" w:cs="Times New Roman"/>
          <w:sz w:val="32"/>
          <w:szCs w:val="32"/>
        </w:rPr>
        <w:t>等交易指令笔数之和；报单成交比（</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有成交的定单笔数）</w:t>
      </w:r>
      <w:r>
        <w:rPr>
          <w:rFonts w:ascii="Times New Roman" w:hAnsi="Times New Roman" w:eastAsia="仿宋" w:cs="Times New Roman"/>
          <w:sz w:val="32"/>
          <w:szCs w:val="32"/>
        </w:rPr>
        <w:t>- 1</w:t>
      </w:r>
      <w:r>
        <w:rPr>
          <w:rFonts w:hint="eastAsia" w:ascii="Times New Roman" w:hAnsi="Times New Roman" w:eastAsia="仿宋" w:cs="Times New Roman"/>
          <w:sz w:val="32"/>
          <w:szCs w:val="32"/>
        </w:rPr>
        <w:t>。</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若客户或非期货公司会员某日在某</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上有信息量但无成交，则当日在该</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上其报单成交比视为大于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p>
    <w:p>
      <w:pPr>
        <w:spacing w:line="360" w:lineRule="auto"/>
        <w:ind w:firstLine="640" w:firstLineChars="200"/>
        <w:outlineLvl w:val="0"/>
        <w:rPr>
          <w:rFonts w:ascii="Times New Roman" w:hAnsi="Times New Roman" w:eastAsia="黑体" w:cs="Times New Roman"/>
          <w:sz w:val="32"/>
          <w:szCs w:val="22"/>
        </w:rPr>
      </w:pPr>
      <w:r>
        <w:rPr>
          <w:rFonts w:hint="eastAsia" w:eastAsia="黑体" w:cs="Times New Roman"/>
          <w:sz w:val="32"/>
          <w:szCs w:val="22"/>
          <w:lang w:eastAsia="zh-CN"/>
        </w:rPr>
        <w:t>四</w:t>
      </w:r>
      <w:r>
        <w:rPr>
          <w:rFonts w:hint="eastAsia" w:ascii="Times New Roman" w:hAnsi="Times New Roman" w:eastAsia="黑体" w:cs="Times New Roman"/>
          <w:sz w:val="32"/>
          <w:szCs w:val="22"/>
        </w:rPr>
        <w:t>、信息量计算</w:t>
      </w:r>
    </w:p>
    <w:p>
      <w:pPr>
        <w:spacing w:line="360" w:lineRule="auto"/>
        <w:ind w:firstLine="642" w:firstLineChars="200"/>
        <w:jc w:val="center"/>
        <w:rPr>
          <w:rFonts w:ascii="Times New Roman" w:hAnsi="Times New Roman" w:eastAsia="仿宋" w:cs="Times New Roman"/>
          <w:sz w:val="32"/>
          <w:szCs w:val="32"/>
        </w:rPr>
      </w:pPr>
      <w:r>
        <w:rPr>
          <w:rFonts w:hint="eastAsia" w:ascii="Times New Roman" w:hAnsi="Times New Roman" w:eastAsia="仿宋" w:cs="Times New Roman"/>
          <w:b/>
          <w:sz w:val="32"/>
          <w:szCs w:val="32"/>
        </w:rPr>
        <w:t>有成交的定单笔数：</w:t>
      </w:r>
      <w:r>
        <w:rPr>
          <w:rFonts w:hint="eastAsia" w:ascii="Times New Roman" w:hAnsi="Times New Roman" w:eastAsia="仿宋" w:cs="Times New Roman"/>
          <w:sz w:val="32"/>
          <w:szCs w:val="32"/>
        </w:rPr>
        <w:t>若某笔定单部分或全部成交，则该笔定单计为</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笔成交，</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笔定单若分多次成交不重复统计。</w:t>
      </w:r>
    </w:p>
    <w:p>
      <w:pPr>
        <w:spacing w:line="360" w:lineRule="auto"/>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FAK/FOK</w:t>
      </w:r>
      <w:r>
        <w:rPr>
          <w:rFonts w:hint="eastAsia" w:ascii="Times New Roman" w:hAnsi="Times New Roman" w:eastAsia="仿宋" w:cs="Times New Roman"/>
          <w:b/>
          <w:sz w:val="32"/>
          <w:szCs w:val="32"/>
        </w:rPr>
        <w:t>定单：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市价单：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组合定单：</w:t>
      </w:r>
      <w:r>
        <w:rPr>
          <w:rFonts w:hint="eastAsia" w:ascii="Times New Roman" w:hAnsi="Times New Roman" w:eastAsia="仿宋" w:cs="Times New Roman"/>
          <w:sz w:val="32"/>
          <w:szCs w:val="32"/>
        </w:rPr>
        <w:t>组合定单的各腿合约信息量分别计入各腿合约上。</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强行平仓定单</w:t>
      </w:r>
      <w:r>
        <w:rPr>
          <w:rFonts w:hint="eastAsia" w:ascii="Times New Roman" w:hAnsi="Times New Roman" w:eastAsia="仿宋" w:cs="Times New Roman"/>
          <w:sz w:val="32"/>
          <w:szCs w:val="32"/>
        </w:rPr>
        <w:t>：均计入信息量。</w:t>
      </w:r>
    </w:p>
    <w:p>
      <w:pPr>
        <w:spacing w:line="360" w:lineRule="auto"/>
        <w:ind w:firstLine="642" w:firstLineChars="200"/>
        <w:rPr>
          <w:rFonts w:hint="eastAsia" w:ascii="Times New Roman" w:hAnsi="Times New Roman" w:eastAsia="仿宋" w:cs="Times New Roman"/>
          <w:sz w:val="32"/>
          <w:szCs w:val="32"/>
        </w:rPr>
      </w:pPr>
      <w:r>
        <w:rPr>
          <w:rFonts w:hint="eastAsia" w:ascii="Times New Roman" w:hAnsi="Times New Roman" w:eastAsia="仿宋" w:cs="Times New Roman"/>
          <w:b/>
          <w:sz w:val="32"/>
          <w:szCs w:val="32"/>
        </w:rPr>
        <w:t>强制减仓定单</w:t>
      </w:r>
      <w:r>
        <w:rPr>
          <w:rFonts w:hint="eastAsia" w:ascii="Times New Roman" w:hAnsi="Times New Roman" w:eastAsia="仿宋" w:cs="Times New Roman"/>
          <w:sz w:val="32"/>
          <w:szCs w:val="32"/>
        </w:rPr>
        <w:t>：均不计入信息量。</w:t>
      </w:r>
    </w:p>
    <w:p>
      <w:pPr>
        <w:spacing w:line="360" w:lineRule="auto"/>
        <w:ind w:firstLine="642"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b/>
          <w:sz w:val="32"/>
          <w:szCs w:val="32"/>
          <w:lang w:eastAsia="zh-CN"/>
        </w:rPr>
        <w:t>询价指令：</w:t>
      </w:r>
      <w:r>
        <w:rPr>
          <w:rFonts w:hint="eastAsia" w:eastAsia="仿宋" w:cs="Times New Roman"/>
          <w:sz w:val="32"/>
          <w:szCs w:val="32"/>
          <w:lang w:eastAsia="zh-CN"/>
        </w:rPr>
        <w:t>计入信息量（仅针对期权）。</w:t>
      </w:r>
    </w:p>
    <w:p>
      <w:pPr>
        <w:widowControl/>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对于同一客户在不同期货公司会员处开有多个交易编码的，或者具有实际控制关系的客户或非期货公司会员，交易所对其报单笔数、撤单笔数、信息量、有成交的定单笔数、</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等指标合并计算。</w:t>
      </w:r>
    </w:p>
    <w:p>
      <w:pPr>
        <w:spacing w:line="360" w:lineRule="auto"/>
        <w:ind w:firstLine="640" w:firstLineChars="200"/>
        <w:outlineLvl w:val="0"/>
        <w:rPr>
          <w:rFonts w:ascii="Times New Roman" w:hAnsi="Times New Roman" w:eastAsia="黑体" w:cs="Times New Roman"/>
          <w:sz w:val="32"/>
          <w:szCs w:val="22"/>
        </w:rPr>
      </w:pPr>
      <w:r>
        <w:rPr>
          <w:rFonts w:hint="eastAsia" w:eastAsia="黑体" w:cs="Times New Roman"/>
          <w:sz w:val="32"/>
          <w:szCs w:val="22"/>
          <w:lang w:eastAsia="zh-CN"/>
        </w:rPr>
        <w:t>五</w:t>
      </w:r>
      <w:r>
        <w:rPr>
          <w:rFonts w:hint="eastAsia" w:ascii="Times New Roman" w:hAnsi="Times New Roman" w:eastAsia="黑体" w:cs="Times New Roman"/>
          <w:sz w:val="32"/>
          <w:szCs w:val="22"/>
        </w:rPr>
        <w:t>、收取方式</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2"/>
        </w:rPr>
        <w:t>当日结算时，申报费从会员结算准备金中扣划。</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对于</w:t>
      </w:r>
      <w:r>
        <w:rPr>
          <w:rFonts w:hint="eastAsia" w:ascii="Times New Roman" w:hAnsi="Times New Roman" w:eastAsia="仿宋" w:cs="Times New Roman"/>
          <w:sz w:val="32"/>
          <w:szCs w:val="32"/>
        </w:rPr>
        <w:t>具有实际控制关系的客户或非期货公司会员</w:t>
      </w:r>
      <w:r>
        <w:rPr>
          <w:rFonts w:hint="eastAsia" w:ascii="Times New Roman" w:hAnsi="Times New Roman" w:eastAsia="仿宋" w:cs="Times New Roman"/>
          <w:sz w:val="32"/>
          <w:szCs w:val="30"/>
        </w:rPr>
        <w:t>，根据申报费计算方法合并计算申报费，并按照实际控制关系账户组下各客户</w:t>
      </w:r>
      <w:r>
        <w:rPr>
          <w:rFonts w:hint="eastAsia" w:ascii="Times New Roman" w:hAnsi="Times New Roman" w:eastAsia="仿宋" w:cs="Times New Roman"/>
          <w:sz w:val="32"/>
          <w:szCs w:val="32"/>
        </w:rPr>
        <w:t>或非期货公司会员</w:t>
      </w:r>
      <w:r>
        <w:rPr>
          <w:rFonts w:hint="eastAsia" w:ascii="Times New Roman" w:hAnsi="Times New Roman" w:eastAsia="仿宋" w:cs="Times New Roman"/>
          <w:sz w:val="32"/>
          <w:szCs w:val="30"/>
        </w:rPr>
        <w:t>的信息量按比例确定相应的申报费。若客户或非期货公司会员隶属于多个实际控制关系账户组，则先计算其在各实际控制关系账户组下应付的申报费，最后按最大值原则确定其应付的申报费。</w:t>
      </w:r>
    </w:p>
    <w:p>
      <w:pPr>
        <w:ind w:firstLine="640"/>
        <w:rPr>
          <w:rFonts w:hint="eastAsia" w:ascii="仿宋" w:hAnsi="仿宋" w:eastAsia="仿宋"/>
          <w:sz w:val="32"/>
          <w:szCs w:val="32"/>
          <w:lang w:eastAsia="zh-CN"/>
        </w:rPr>
      </w:pPr>
      <w:r>
        <w:rPr>
          <w:rFonts w:hint="eastAsia" w:ascii="Times New Roman" w:hAnsi="Times New Roman" w:eastAsia="仿宋" w:cs="Times New Roman"/>
          <w:sz w:val="32"/>
          <w:szCs w:val="32"/>
        </w:rPr>
        <w:t>对于同一客户在不同期货公司会员处开有多个交易编码的</w:t>
      </w:r>
      <w:r>
        <w:rPr>
          <w:rFonts w:hint="eastAsia" w:ascii="Times New Roman" w:hAnsi="Times New Roman" w:eastAsia="仿宋" w:cs="Times New Roman"/>
          <w:sz w:val="32"/>
          <w:szCs w:val="30"/>
        </w:rPr>
        <w:t>，按照客户在不同期货公司会员下产生的信息量按比例确定相应的申报费。</w:t>
      </w:r>
      <w:bookmarkStart w:id="0" w:name="_GoBack"/>
      <w:bookmarkEnd w:id="0"/>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4E35382"/>
    <w:rsid w:val="0C0006AD"/>
    <w:rsid w:val="0EDF0A90"/>
    <w:rsid w:val="1B4B3BE2"/>
    <w:rsid w:val="1FFDF1CD"/>
    <w:rsid w:val="226832E5"/>
    <w:rsid w:val="2D2A393B"/>
    <w:rsid w:val="352B725A"/>
    <w:rsid w:val="37335B48"/>
    <w:rsid w:val="3AA452E6"/>
    <w:rsid w:val="3B7F12F6"/>
    <w:rsid w:val="3CAB6066"/>
    <w:rsid w:val="3E27F01A"/>
    <w:rsid w:val="3E7D6B85"/>
    <w:rsid w:val="3F6D8AEB"/>
    <w:rsid w:val="488030AC"/>
    <w:rsid w:val="4D353BB5"/>
    <w:rsid w:val="51705E8D"/>
    <w:rsid w:val="52192FF5"/>
    <w:rsid w:val="5BF7A62A"/>
    <w:rsid w:val="5C4BA87F"/>
    <w:rsid w:val="5E5A057F"/>
    <w:rsid w:val="67E1B6D4"/>
    <w:rsid w:val="6C5A0A2D"/>
    <w:rsid w:val="6D79709B"/>
    <w:rsid w:val="6FFEB43E"/>
    <w:rsid w:val="73FD2E31"/>
    <w:rsid w:val="77FFC47A"/>
    <w:rsid w:val="79FED12A"/>
    <w:rsid w:val="7ABF246D"/>
    <w:rsid w:val="7DFFF9DB"/>
    <w:rsid w:val="7F1E5AEC"/>
    <w:rsid w:val="7F4DD2C4"/>
    <w:rsid w:val="7F6FCCB8"/>
    <w:rsid w:val="7F737DF6"/>
    <w:rsid w:val="7FBF463F"/>
    <w:rsid w:val="7FCE04F5"/>
    <w:rsid w:val="7FEAD8F1"/>
    <w:rsid w:val="7FEFE58E"/>
    <w:rsid w:val="7FFED961"/>
    <w:rsid w:val="AA855AA8"/>
    <w:rsid w:val="B7AF9BBF"/>
    <w:rsid w:val="BCFB74A9"/>
    <w:rsid w:val="BFF6B769"/>
    <w:rsid w:val="D7CEB8B1"/>
    <w:rsid w:val="D7F809BD"/>
    <w:rsid w:val="DBE58B6A"/>
    <w:rsid w:val="DDBECEA9"/>
    <w:rsid w:val="DFAFBD1C"/>
    <w:rsid w:val="EFB96FE9"/>
    <w:rsid w:val="EFBF8F75"/>
    <w:rsid w:val="EFFF7061"/>
    <w:rsid w:val="F30E6226"/>
    <w:rsid w:val="F3F5B372"/>
    <w:rsid w:val="F76F46F7"/>
    <w:rsid w:val="F7AD45D1"/>
    <w:rsid w:val="F7BD7073"/>
    <w:rsid w:val="F7FF0466"/>
    <w:rsid w:val="F9DF6811"/>
    <w:rsid w:val="FEAD71D0"/>
    <w:rsid w:val="FEEF6C98"/>
    <w:rsid w:val="FF9B23C4"/>
    <w:rsid w:val="FFFAF177"/>
    <w:rsid w:val="FFFE7E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5"/>
    <w:qFormat/>
    <w:uiPriority w:val="0"/>
    <w:rPr>
      <w:rFonts w:ascii="仿宋_GB2312" w:eastAsia="仿宋_GB2312"/>
      <w:sz w:val="32"/>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日期 Char"/>
    <w:basedOn w:val="10"/>
    <w:link w:val="3"/>
    <w:qFormat/>
    <w:uiPriority w:val="0"/>
    <w:rPr>
      <w:rFonts w:ascii="仿宋_GB2312" w:hAnsi="Times New Roman" w:eastAsia="仿宋_GB2312" w:cs="Times New Roman"/>
      <w:sz w:val="32"/>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szCs w:val="24"/>
    </w:rPr>
  </w:style>
  <w:style w:type="character" w:customStyle="1" w:styleId="19">
    <w:name w:val="批注主题 Char"/>
    <w:basedOn w:val="18"/>
    <w:link w:val="7"/>
    <w:semiHidden/>
    <w:qFormat/>
    <w:uiPriority w:val="99"/>
    <w:rPr>
      <w:rFonts w:ascii="Times New Roman" w:hAnsi="Times New Roman" w:eastAsia="宋体" w:cs="Times New Roman"/>
      <w:b/>
      <w:bCs/>
      <w:szCs w:val="24"/>
    </w:rPr>
  </w:style>
  <w:style w:type="character" w:customStyle="1" w:styleId="20">
    <w:name w:val="font21"/>
    <w:basedOn w:val="10"/>
    <w:qFormat/>
    <w:uiPriority w:val="0"/>
    <w:rPr>
      <w:rFonts w:hint="eastAsia" w:ascii="宋体" w:hAnsi="宋体" w:eastAsia="宋体" w:cs="宋体"/>
      <w:b/>
      <w:bCs/>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2295</Words>
  <Characters>6103</Characters>
  <Lines>2</Lines>
  <Paragraphs>1</Paragraphs>
  <TotalTime>0</TotalTime>
  <ScaleCrop>false</ScaleCrop>
  <LinksUpToDate>false</LinksUpToDate>
  <CharactersWithSpaces>6938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2019-09-22T00:35:00Z</dcterms:created>
  <dc:creator>CN=李小鹏/OU=办公室/O=CZCE</dc:creator>
  <cp:lastModifiedBy>邢艳艳</cp:lastModifiedBy>
  <dcterms:modified xsi:type="dcterms:W3CDTF">2024-08-16T14:38:26Z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1A682EEB7BF248D2AA7A3D9B6A682916</vt:lpwstr>
  </property>
</Properties>
</file>