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contextualSpacing/>
        <w:jc w:val="center"/>
        <w:rPr>
          <w:rFonts w:hint="eastAsia" w:ascii="方正大标宋简体" w:hAnsi="方正大标宋简体" w:eastAsia="方正大标宋简体" w:cs="方正大标宋简体"/>
          <w:sz w:val="44"/>
          <w:szCs w:val="44"/>
        </w:rPr>
      </w:pPr>
    </w:p>
    <w:p>
      <w:pPr>
        <w:spacing w:line="580" w:lineRule="exact"/>
        <w:contextualSpacing/>
        <w:jc w:val="center"/>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《&lt;中国金融期货交易所异常交易管理办法&gt;国债期货有关监管标准及处理程序》</w:t>
      </w:r>
    </w:p>
    <w:p>
      <w:pPr>
        <w:spacing w:line="580" w:lineRule="exact"/>
        <w:contextualSpacing/>
        <w:jc w:val="center"/>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修订对照表</w:t>
      </w:r>
    </w:p>
    <w:p>
      <w:pPr>
        <w:jc w:val="center"/>
        <w:rPr>
          <w:rFonts w:hint="default" w:ascii="Times New Roman" w:hAnsi="Times New Roman" w:eastAsia="方正仿宋简体" w:cs="Times New Roman"/>
          <w:sz w:val="32"/>
          <w:szCs w:val="32"/>
          <w:highlight w:val="none"/>
        </w:rPr>
      </w:pPr>
    </w:p>
    <w:p>
      <w:pPr>
        <w:jc w:val="center"/>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w:t>
      </w:r>
      <w:r>
        <w:rPr>
          <w:rFonts w:hint="eastAsia" w:ascii="仿宋_GB2312" w:hAnsi="Times New Roman" w:eastAsia="仿宋_GB2312" w:cs="Times New Roman"/>
          <w:b/>
          <w:sz w:val="32"/>
          <w:szCs w:val="32"/>
          <w:shd w:val="pct10" w:color="auto" w:fill="FFFFFF"/>
        </w:rPr>
        <w:t>阴影加粗部分</w:t>
      </w:r>
      <w:r>
        <w:rPr>
          <w:rFonts w:hint="eastAsia" w:ascii="仿宋_GB2312" w:hAnsi="Times New Roman" w:eastAsia="仿宋_GB2312" w:cs="Times New Roman"/>
          <w:sz w:val="32"/>
          <w:szCs w:val="32"/>
        </w:rPr>
        <w:t>为新增，</w:t>
      </w:r>
      <w:r>
        <w:rPr>
          <w:rFonts w:hint="eastAsia" w:ascii="仿宋_GB2312" w:hAnsi="Times New Roman" w:eastAsia="仿宋_GB2312" w:cs="Times New Roman"/>
          <w:dstrike/>
          <w:sz w:val="32"/>
          <w:szCs w:val="32"/>
        </w:rPr>
        <w:t>双删除线部分</w:t>
      </w:r>
      <w:r>
        <w:rPr>
          <w:rFonts w:hint="eastAsia" w:ascii="仿宋_GB2312" w:hAnsi="Times New Roman" w:eastAsia="仿宋_GB2312" w:cs="Times New Roman"/>
          <w:sz w:val="32"/>
          <w:szCs w:val="32"/>
        </w:rPr>
        <w:t>为删除</w:t>
      </w:r>
      <w:r>
        <w:rPr>
          <w:rFonts w:hint="default" w:ascii="Times New Roman" w:hAnsi="Times New Roman" w:eastAsia="方正仿宋简体" w:cs="Times New Roman"/>
          <w:sz w:val="32"/>
          <w:szCs w:val="32"/>
          <w:highlight w:val="none"/>
        </w:rPr>
        <w:t>）</w:t>
      </w:r>
    </w:p>
    <w:p>
      <w:pPr>
        <w:pStyle w:val="2"/>
        <w:rPr>
          <w:rFonts w:hint="default"/>
        </w:rPr>
      </w:pPr>
    </w:p>
    <w:p>
      <w:pPr>
        <w:pStyle w:val="2"/>
        <w:rPr>
          <w:rFonts w:hint="default"/>
        </w:rPr>
      </w:pPr>
    </w:p>
    <w:tbl>
      <w:tblPr>
        <w:tblStyle w:val="3"/>
        <w:tblW w:w="9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92"/>
        <w:gridCol w:w="4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2" w:type="dxa"/>
            <w:noWrap w:val="0"/>
            <w:vAlign w:val="top"/>
          </w:tcPr>
          <w:p>
            <w:pPr>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修订稿</w:t>
            </w:r>
          </w:p>
        </w:tc>
        <w:tc>
          <w:tcPr>
            <w:tcW w:w="4693" w:type="dxa"/>
            <w:noWrap w:val="0"/>
            <w:vAlign w:val="top"/>
          </w:tcPr>
          <w:p>
            <w:pPr>
              <w:jc w:val="center"/>
              <w:rPr>
                <w:rFonts w:hint="eastAsia" w:ascii="仿宋_GB2312" w:hAnsi="仿宋_GB2312" w:eastAsia="仿宋_GB2312" w:cs="仿宋_GB2312"/>
                <w:b/>
                <w:sz w:val="32"/>
                <w:szCs w:val="32"/>
                <w:highlight w:val="none"/>
                <w:lang w:val="en" w:eastAsia="zh-CN"/>
              </w:rPr>
            </w:pPr>
            <w:r>
              <w:rPr>
                <w:rFonts w:hint="eastAsia" w:ascii="仿宋_GB2312" w:hAnsi="仿宋_GB2312" w:eastAsia="仿宋_GB2312" w:cs="仿宋_GB2312"/>
                <w:b/>
                <w:sz w:val="32"/>
                <w:szCs w:val="32"/>
                <w:highlight w:val="none"/>
                <w:lang w:val="en" w:eastAsia="zh-CN"/>
              </w:rPr>
              <w:t>原条文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2" w:type="dxa"/>
            <w:noWrap w:val="0"/>
            <w:vAlign w:val="top"/>
          </w:tcPr>
          <w:p>
            <w:pPr>
              <w:ind w:firstLine="642" w:firstLineChars="200"/>
              <w:jc w:val="left"/>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eastAsia="zh-CN"/>
              </w:rPr>
              <w:t>一、自成交、频繁报撤单、大额报撤单行为的监管标准及处理程序</w:t>
            </w:r>
          </w:p>
          <w:p>
            <w:pPr>
              <w:ind w:firstLine="642" w:firstLineChars="200"/>
              <w:jc w:val="left"/>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（一）监管标准</w:t>
            </w:r>
          </w:p>
          <w:p>
            <w:pPr>
              <w:pStyle w:val="2"/>
              <w:rPr>
                <w:rFonts w:hint="eastAsia" w:eastAsia="仿宋_GB2312"/>
                <w:b w:val="0"/>
                <w:bCs w:val="0"/>
                <w:lang w:eastAsia="zh-CN"/>
              </w:rPr>
            </w:pPr>
            <w:r>
              <w:rPr>
                <w:rFonts w:hint="eastAsia" w:ascii="仿宋_GB2312" w:hAnsi="仿宋_GB2312" w:eastAsia="仿宋_GB2312" w:cs="仿宋_GB2312"/>
                <w:b w:val="0"/>
                <w:bCs w:val="0"/>
                <w:sz w:val="32"/>
                <w:szCs w:val="32"/>
                <w:highlight w:val="none"/>
                <w:lang w:eastAsia="zh-CN"/>
              </w:rPr>
              <w:t>……</w:t>
            </w:r>
          </w:p>
          <w:p>
            <w:pPr>
              <w:numPr>
                <w:ilvl w:val="0"/>
                <w:numId w:val="0"/>
              </w:numPr>
              <w:autoSpaceDE/>
              <w:autoSpaceDN/>
              <w:adjustRightInd/>
              <w:ind w:firstLine="640" w:firstLineChars="200"/>
              <w:jc w:val="left"/>
              <w:rPr>
                <w:rFonts w:hint="eastAsia" w:ascii="仿宋_GB2312" w:hAnsi="仿宋_GB2312" w:eastAsia="仿宋_GB2312" w:cs="仿宋_GB2312"/>
                <w:dstrike/>
                <w:sz w:val="32"/>
                <w:szCs w:val="32"/>
                <w:highlight w:val="none"/>
              </w:rPr>
            </w:pPr>
            <w:r>
              <w:rPr>
                <w:rFonts w:hint="eastAsia" w:ascii="仿宋_GB2312" w:hAnsi="仿宋_GB2312" w:eastAsia="仿宋_GB2312" w:cs="仿宋_GB2312"/>
                <w:b w:val="0"/>
                <w:bCs w:val="0"/>
                <w:sz w:val="32"/>
                <w:szCs w:val="32"/>
                <w:highlight w:val="none"/>
                <w:lang w:val="en-US" w:eastAsia="zh-CN"/>
              </w:rPr>
              <w:t>5.</w:t>
            </w:r>
            <w:r>
              <w:rPr>
                <w:rFonts w:hint="eastAsia" w:ascii="仿宋_GB2312" w:hAnsi="仿宋_GB2312" w:eastAsia="仿宋_GB2312" w:cs="仿宋_GB2312"/>
                <w:b w:val="0"/>
                <w:bCs w:val="0"/>
                <w:sz w:val="32"/>
                <w:szCs w:val="32"/>
                <w:highlight w:val="none"/>
                <w:lang w:eastAsia="zh-CN"/>
              </w:rPr>
              <w:t>在统计非期货公司会员、客户自成交、频繁报撤单和大额报撤单次数时</w:t>
            </w:r>
            <w:r>
              <w:rPr>
                <w:rFonts w:hint="eastAsia" w:ascii="仿宋_GB2312" w:hAnsi="仿宋_GB2312" w:eastAsia="仿宋_GB2312" w:cs="仿宋_GB2312"/>
                <w:b/>
                <w:sz w:val="32"/>
                <w:szCs w:val="32"/>
                <w:highlight w:val="none"/>
                <w:shd w:val="pct10" w:color="auto" w:fill="FFFFFF"/>
                <w:lang w:val="en-US" w:eastAsia="zh-CN"/>
              </w:rPr>
              <w:t>：（1）因市价指令形成的自成交行为不计入自成交次数统计，因限价指令（包括即时全部成交或撤销限价指令、即时成交剩余撤销限价指令和其他限价指令）形成的自成交行为计入自成交次数</w:t>
            </w:r>
            <w:bookmarkStart w:id="0" w:name="_GoBack"/>
            <w:bookmarkEnd w:id="0"/>
            <w:r>
              <w:rPr>
                <w:rFonts w:hint="eastAsia" w:ascii="仿宋_GB2312" w:hAnsi="仿宋_GB2312" w:eastAsia="仿宋_GB2312" w:cs="仿宋_GB2312"/>
                <w:b/>
                <w:sz w:val="32"/>
                <w:szCs w:val="32"/>
                <w:highlight w:val="none"/>
                <w:shd w:val="pct10" w:color="auto" w:fill="FFFFFF"/>
                <w:lang w:val="en-US" w:eastAsia="zh-CN"/>
              </w:rPr>
              <w:t>统计。（2）因市价指令形成的撤单行为不计入频繁报撤单次数统计，因即时全部成交或撤销限价指令、即时成交剩余撤销限价指令形成的撤单行为计入频繁报撤单次数统计，因其他限价指令形成的撤单行为不计入频繁报撤单次数统计。（3）因市价指令形成的撤单行为不计入大额报撤单次数统计，因限价指令（包括即时全部成交或撤销限价指令、即时成交剩余撤销限价指令和其他限价指令）形成的撤单行为计入大额报撤单次数统计。</w:t>
            </w:r>
            <w:r>
              <w:rPr>
                <w:rFonts w:hint="eastAsia" w:ascii="仿宋_GB2312" w:hAnsi="仿宋_GB2312" w:eastAsia="仿宋_GB2312" w:cs="仿宋_GB2312"/>
                <w:dstrike/>
                <w:sz w:val="32"/>
                <w:szCs w:val="32"/>
                <w:highlight w:val="none"/>
              </w:rPr>
              <w:t>，因即时全部成交或撤销限价指令、即时成交剩余撤销限价指令、市价指令形成的自成交行为不计入自成交次数统计。因即时全部成交或撤销限价指令、即时成交剩余撤销限价指令、市价指令自动形成的撤单行为不计入频繁报撤、大额报撤单次数统计，由非期货公司会员、客户主动发出的撤单行为计入撤单次数统计。</w:t>
            </w:r>
          </w:p>
          <w:p>
            <w:pPr>
              <w:pStyle w:val="2"/>
              <w:rPr>
                <w:rFonts w:hint="eastAsia" w:eastAsia="仿宋_GB2312"/>
                <w:b w:val="0"/>
                <w:bCs w:val="0"/>
                <w:lang w:eastAsia="zh-CN"/>
              </w:rPr>
            </w:pPr>
            <w:r>
              <w:rPr>
                <w:rFonts w:hint="eastAsia" w:ascii="仿宋_GB2312" w:hAnsi="仿宋_GB2312" w:eastAsia="仿宋_GB2312" w:cs="仿宋_GB2312"/>
                <w:b w:val="0"/>
                <w:bCs w:val="0"/>
                <w:sz w:val="32"/>
                <w:szCs w:val="32"/>
                <w:highlight w:val="none"/>
                <w:lang w:eastAsia="zh-CN"/>
              </w:rPr>
              <w:t>……</w:t>
            </w:r>
          </w:p>
          <w:p>
            <w:pPr>
              <w:pStyle w:val="2"/>
              <w:numPr>
                <w:ilvl w:val="0"/>
                <w:numId w:val="0"/>
              </w:numPr>
              <w:rPr>
                <w:rFonts w:hint="eastAsia"/>
              </w:rPr>
            </w:pPr>
          </w:p>
          <w:p>
            <w:pPr>
              <w:jc w:val="left"/>
              <w:rPr>
                <w:rFonts w:hint="default" w:ascii="仿宋_GB2312" w:hAnsi="仿宋_GB2312" w:eastAsia="仿宋_GB2312" w:cs="仿宋_GB2312"/>
                <w:sz w:val="32"/>
                <w:szCs w:val="32"/>
                <w:highlight w:val="none"/>
                <w:lang w:val="en-US"/>
              </w:rPr>
            </w:pPr>
          </w:p>
        </w:tc>
        <w:tc>
          <w:tcPr>
            <w:tcW w:w="4693" w:type="dxa"/>
            <w:noWrap w:val="0"/>
            <w:vAlign w:val="top"/>
          </w:tcPr>
          <w:p>
            <w:pPr>
              <w:ind w:firstLine="642" w:firstLineChars="200"/>
              <w:jc w:val="left"/>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eastAsia="zh-CN"/>
              </w:rPr>
              <w:t>一、自成交、频繁报撤单、大额报撤单行为的监管标准及处理程序</w:t>
            </w:r>
          </w:p>
          <w:p>
            <w:pPr>
              <w:ind w:firstLine="642" w:firstLineChars="200"/>
              <w:jc w:val="left"/>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（一）监管标准</w:t>
            </w:r>
          </w:p>
          <w:p>
            <w:pPr>
              <w:pStyle w:val="2"/>
              <w:rPr>
                <w:rFonts w:hint="eastAsia" w:eastAsia="仿宋_GB2312"/>
                <w:b w:val="0"/>
                <w:bCs w:val="0"/>
                <w:lang w:eastAsia="zh-CN"/>
              </w:rPr>
            </w:pPr>
            <w:r>
              <w:rPr>
                <w:rFonts w:hint="eastAsia" w:ascii="仿宋_GB2312" w:hAnsi="仿宋_GB2312" w:eastAsia="仿宋_GB2312" w:cs="仿宋_GB2312"/>
                <w:b w:val="0"/>
                <w:bCs w:val="0"/>
                <w:sz w:val="32"/>
                <w:szCs w:val="32"/>
                <w:highlight w:val="none"/>
                <w:lang w:eastAsia="zh-CN"/>
              </w:rPr>
              <w:t>……</w:t>
            </w:r>
          </w:p>
          <w:p>
            <w:pPr>
              <w:numPr>
                <w:ilvl w:val="0"/>
                <w:numId w:val="0"/>
              </w:num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在统计非期货公司会员、客户自成交、频繁报撤单和大额报撤单次数时，因即时全部成交或撤销限价指令、即时成交剩余撤销限价指令、市价指令形成的自成交行为不计入自成交次数统计。因即时全部成交或撤销限价指令、即时成交剩余撤销限价指令、市价指令自动形成的撤单行为不计入频繁报撤、大额报撤单次数统计，由非期货公司会员、客户主动发出的撤单行为计入撤单次数统计。</w:t>
            </w:r>
          </w:p>
          <w:p>
            <w:pPr>
              <w:pStyle w:val="2"/>
              <w:rPr>
                <w:rFonts w:hint="eastAsia" w:eastAsia="仿宋_GB2312"/>
                <w:b w:val="0"/>
                <w:bCs w:val="0"/>
                <w:lang w:eastAsia="zh-CN"/>
              </w:rPr>
            </w:pPr>
            <w:r>
              <w:rPr>
                <w:rFonts w:hint="eastAsia" w:ascii="仿宋_GB2312" w:hAnsi="仿宋_GB2312" w:eastAsia="仿宋_GB2312" w:cs="仿宋_GB2312"/>
                <w:b w:val="0"/>
                <w:bCs w:val="0"/>
                <w:sz w:val="32"/>
                <w:szCs w:val="32"/>
                <w:highlight w:val="none"/>
                <w:lang w:eastAsia="zh-CN"/>
              </w:rPr>
              <w:t>……</w:t>
            </w:r>
          </w:p>
          <w:p>
            <w:pPr>
              <w:pStyle w:val="2"/>
              <w:numPr>
                <w:ilvl w:val="0"/>
                <w:numId w:val="0"/>
              </w:numPr>
              <w:rPr>
                <w:rFonts w:hint="eastAsia"/>
              </w:rPr>
            </w:pPr>
          </w:p>
          <w:p>
            <w:pPr>
              <w:autoSpaceDE w:val="0"/>
              <w:autoSpaceDN w:val="0"/>
              <w:adjustRightInd w:val="0"/>
              <w:rPr>
                <w:rFonts w:hint="eastAsia" w:ascii="仿宋_GB2312" w:hAnsi="仿宋_GB2312" w:eastAsia="仿宋_GB2312" w:cs="仿宋_GB2312"/>
                <w:sz w:val="32"/>
                <w:szCs w:val="32"/>
                <w:highlight w:val="none"/>
              </w:rPr>
            </w:pP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大标宋简体">
    <w:panose1 w:val="02000000000000000000"/>
    <w:charset w:val="86"/>
    <w:family w:val="auto"/>
    <w:pitch w:val="default"/>
    <w:sig w:usb0="A00002BF" w:usb1="184F6CFA" w:usb2="00000012" w:usb3="00000000" w:csb0="00040001"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EF5A76"/>
    <w:rsid w:val="1CAE31BA"/>
    <w:rsid w:val="1FEB4BA5"/>
    <w:rsid w:val="37DB1C2E"/>
    <w:rsid w:val="3D2A012E"/>
    <w:rsid w:val="3FFCACF6"/>
    <w:rsid w:val="5FFF220A"/>
    <w:rsid w:val="76EF5A76"/>
    <w:rsid w:val="7DFD4FFE"/>
    <w:rsid w:val="7F6F95F4"/>
    <w:rsid w:val="8FFD73BB"/>
    <w:rsid w:val="DF53BC4D"/>
    <w:rsid w:val="EDFF6F44"/>
    <w:rsid w:val="FF97B6C5"/>
    <w:rsid w:val="FFFEBC38"/>
    <w:rsid w:val="FFFFEF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rPr>
      <w:rFonts w:ascii="Calibri" w:hAnsi="Calibri"/>
      <w:sz w:val="18"/>
      <w:szCs w:val="18"/>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Office_11.8.2.10533_F1E327BC-269C-435d-A152-05C5408002CA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2024-06-05T23:41:00Z</dcterms:created>
  <dc:creator>lanzh</dc:creator>
  <cp:lastModifiedBy>caoxi</cp:lastModifiedBy>
  <dcterms:modified xsi:type="dcterms:W3CDTF">2024-06-20T10:31:24Z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2052-11.8.2.10533</vt:lpwstr>
  </property>
</Properties>
</file>