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25E" w:rsidRDefault="001E225E" w:rsidP="001E225E">
      <w:pPr>
        <w:jc w:val="left"/>
        <w:rPr>
          <w:rFonts w:ascii="黑体" w:eastAsia="黑体" w:hAnsi="黑体"/>
          <w:sz w:val="32"/>
          <w:szCs w:val="32"/>
        </w:rPr>
      </w:pPr>
      <w:r>
        <w:rPr>
          <w:rFonts w:ascii="黑体" w:eastAsia="黑体" w:hAnsi="黑体" w:hint="eastAsia"/>
          <w:sz w:val="32"/>
          <w:szCs w:val="32"/>
        </w:rPr>
        <w:t>附件2</w:t>
      </w:r>
    </w:p>
    <w:p w:rsidR="001E225E" w:rsidRDefault="001E225E" w:rsidP="001E225E">
      <w:pPr>
        <w:widowControl/>
        <w:jc w:val="center"/>
        <w:rPr>
          <w:rFonts w:ascii="宋体" w:eastAsiaTheme="minorEastAsia" w:hAnsi="宋体"/>
          <w:b/>
          <w:sz w:val="44"/>
          <w:szCs w:val="44"/>
        </w:rPr>
      </w:pPr>
      <w:r>
        <w:rPr>
          <w:rFonts w:ascii="宋体" w:hAnsi="宋体" w:hint="eastAsia"/>
          <w:b/>
          <w:sz w:val="44"/>
          <w:szCs w:val="44"/>
        </w:rPr>
        <w:t>《郑州商品交易所异常交易行为管理办法》</w:t>
      </w:r>
    </w:p>
    <w:p w:rsidR="001E225E" w:rsidRDefault="001E225E" w:rsidP="001E225E">
      <w:pPr>
        <w:widowControl/>
        <w:jc w:val="center"/>
        <w:rPr>
          <w:rFonts w:ascii="宋体" w:hAnsi="宋体" w:cs="宋体"/>
          <w:b/>
          <w:kern w:val="0"/>
          <w:sz w:val="44"/>
          <w:szCs w:val="44"/>
        </w:rPr>
      </w:pPr>
      <w:r>
        <w:rPr>
          <w:rFonts w:ascii="宋体" w:hAnsi="宋体" w:cs="宋体" w:hint="eastAsia"/>
          <w:b/>
          <w:kern w:val="0"/>
          <w:sz w:val="44"/>
          <w:szCs w:val="44"/>
        </w:rPr>
        <w:t>修订条款对照表</w:t>
      </w:r>
    </w:p>
    <w:p w:rsidR="001E225E" w:rsidRDefault="001E225E" w:rsidP="001E225E">
      <w:pPr>
        <w:spacing w:afterLines="50"/>
        <w:jc w:val="center"/>
        <w:rPr>
          <w:rFonts w:ascii="仿宋" w:eastAsia="仿宋" w:hAnsi="仿宋" w:cstheme="minorBidi"/>
          <w:sz w:val="24"/>
          <w:szCs w:val="22"/>
        </w:rPr>
      </w:pPr>
      <w:r>
        <w:rPr>
          <w:rFonts w:ascii="仿宋" w:eastAsia="仿宋" w:hAnsi="仿宋" w:hint="eastAsia"/>
          <w:sz w:val="24"/>
        </w:rPr>
        <w:t>（</w:t>
      </w:r>
      <w:r>
        <w:rPr>
          <w:rFonts w:ascii="仿宋" w:eastAsia="仿宋" w:hAnsi="仿宋" w:hint="eastAsia"/>
          <w:b/>
          <w:sz w:val="24"/>
          <w:u w:val="single"/>
        </w:rPr>
        <w:t>加下划线并加粗部分</w:t>
      </w:r>
      <w:r>
        <w:rPr>
          <w:rFonts w:ascii="仿宋" w:eastAsia="仿宋" w:hAnsi="仿宋" w:hint="eastAsia"/>
          <w:sz w:val="24"/>
        </w:rPr>
        <w:t>为新增内容，</w:t>
      </w:r>
      <w:r>
        <w:rPr>
          <w:rFonts w:ascii="仿宋" w:eastAsia="仿宋" w:hAnsi="仿宋" w:hint="eastAsia"/>
          <w:dstrike/>
          <w:sz w:val="24"/>
        </w:rPr>
        <w:t>双删除线</w:t>
      </w:r>
      <w:r>
        <w:rPr>
          <w:rFonts w:ascii="仿宋" w:eastAsia="仿宋" w:hAnsi="仿宋" w:hint="eastAsia"/>
          <w:sz w:val="24"/>
        </w:rPr>
        <w:t>部分为删除内容）</w:t>
      </w:r>
    </w:p>
    <w:tbl>
      <w:tblPr>
        <w:tblW w:w="8930" w:type="dxa"/>
        <w:jc w:val="center"/>
        <w:tblInd w:w="-1019" w:type="dxa"/>
        <w:tblLook w:val="04A0"/>
      </w:tblPr>
      <w:tblGrid>
        <w:gridCol w:w="4465"/>
        <w:gridCol w:w="4465"/>
      </w:tblGrid>
      <w:tr w:rsidR="001E225E" w:rsidTr="002B36B1">
        <w:trPr>
          <w:trHeight w:val="255"/>
          <w:jc w:val="center"/>
        </w:trPr>
        <w:tc>
          <w:tcPr>
            <w:tcW w:w="4465" w:type="dxa"/>
            <w:tcBorders>
              <w:top w:val="single" w:sz="4" w:space="0" w:color="auto"/>
              <w:left w:val="single" w:sz="4" w:space="0" w:color="auto"/>
              <w:bottom w:val="single" w:sz="4" w:space="0" w:color="auto"/>
              <w:right w:val="single" w:sz="4" w:space="0" w:color="auto"/>
            </w:tcBorders>
            <w:vAlign w:val="center"/>
            <w:hideMark/>
          </w:tcPr>
          <w:p w:rsidR="001E225E" w:rsidRDefault="001E225E" w:rsidP="002B36B1">
            <w:pPr>
              <w:widowControl/>
              <w:jc w:val="center"/>
              <w:rPr>
                <w:rFonts w:ascii="仿宋" w:eastAsia="仿宋" w:hAnsi="仿宋" w:cs="Arial"/>
                <w:b/>
                <w:kern w:val="0"/>
                <w:sz w:val="24"/>
                <w:szCs w:val="22"/>
              </w:rPr>
            </w:pPr>
            <w:r>
              <w:rPr>
                <w:rFonts w:ascii="仿宋" w:eastAsia="仿宋" w:hAnsi="仿宋" w:cs="Arial" w:hint="eastAsia"/>
                <w:b/>
                <w:kern w:val="0"/>
                <w:sz w:val="24"/>
              </w:rPr>
              <w:t>修订前条文</w:t>
            </w:r>
          </w:p>
        </w:tc>
        <w:tc>
          <w:tcPr>
            <w:tcW w:w="4465" w:type="dxa"/>
            <w:tcBorders>
              <w:top w:val="single" w:sz="4" w:space="0" w:color="auto"/>
              <w:left w:val="nil"/>
              <w:bottom w:val="single" w:sz="4" w:space="0" w:color="auto"/>
              <w:right w:val="single" w:sz="4" w:space="0" w:color="auto"/>
            </w:tcBorders>
            <w:vAlign w:val="center"/>
            <w:hideMark/>
          </w:tcPr>
          <w:p w:rsidR="001E225E" w:rsidRDefault="001E225E" w:rsidP="002B36B1">
            <w:pPr>
              <w:widowControl/>
              <w:jc w:val="center"/>
              <w:rPr>
                <w:rFonts w:ascii="仿宋" w:eastAsia="仿宋" w:hAnsi="仿宋" w:cs="Arial"/>
                <w:b/>
                <w:kern w:val="0"/>
                <w:sz w:val="24"/>
                <w:szCs w:val="22"/>
              </w:rPr>
            </w:pPr>
            <w:r>
              <w:rPr>
                <w:rFonts w:ascii="仿宋" w:eastAsia="仿宋" w:hAnsi="仿宋" w:cs="Arial" w:hint="eastAsia"/>
                <w:b/>
                <w:kern w:val="0"/>
                <w:sz w:val="24"/>
              </w:rPr>
              <w:t>修订后条文</w:t>
            </w:r>
          </w:p>
        </w:tc>
      </w:tr>
      <w:tr w:rsidR="001E225E" w:rsidTr="002B36B1">
        <w:trPr>
          <w:trHeight w:val="315"/>
          <w:jc w:val="center"/>
        </w:trPr>
        <w:tc>
          <w:tcPr>
            <w:tcW w:w="4465" w:type="dxa"/>
            <w:tcBorders>
              <w:top w:val="single" w:sz="4" w:space="0" w:color="auto"/>
              <w:left w:val="single" w:sz="4" w:space="0" w:color="auto"/>
              <w:bottom w:val="single" w:sz="4" w:space="0" w:color="auto"/>
              <w:right w:val="single" w:sz="4" w:space="0" w:color="auto"/>
            </w:tcBorders>
            <w:vAlign w:val="center"/>
            <w:hideMark/>
          </w:tcPr>
          <w:p w:rsidR="001E225E" w:rsidRDefault="001E225E" w:rsidP="002B36B1">
            <w:pPr>
              <w:widowControl/>
              <w:adjustRightInd w:val="0"/>
              <w:snapToGrid w:val="0"/>
              <w:ind w:firstLineChars="200" w:firstLine="482"/>
              <w:rPr>
                <w:rFonts w:ascii="仿宋" w:eastAsia="仿宋" w:hAnsi="仿宋" w:cs="Arial"/>
                <w:bCs/>
                <w:kern w:val="0"/>
                <w:sz w:val="24"/>
              </w:rPr>
            </w:pPr>
            <w:r>
              <w:rPr>
                <w:rFonts w:ascii="仿宋" w:eastAsia="仿宋" w:hAnsi="仿宋" w:cs="Arial" w:hint="eastAsia"/>
                <w:b/>
                <w:bCs/>
                <w:kern w:val="0"/>
                <w:sz w:val="24"/>
              </w:rPr>
              <w:t>第五条</w:t>
            </w:r>
            <w:r>
              <w:rPr>
                <w:rFonts w:ascii="仿宋" w:eastAsia="仿宋" w:hAnsi="仿宋" w:cs="Arial" w:hint="eastAsia"/>
                <w:bCs/>
                <w:kern w:val="0"/>
                <w:sz w:val="24"/>
              </w:rPr>
              <w:t xml:space="preserve"> 期货交易出现以下情形之一的，交易所认定为异常交易行为：</w:t>
            </w:r>
          </w:p>
          <w:p w:rsidR="001E225E" w:rsidRDefault="001E225E" w:rsidP="002B36B1">
            <w:pPr>
              <w:widowControl/>
              <w:adjustRightInd w:val="0"/>
              <w:snapToGrid w:val="0"/>
              <w:ind w:firstLineChars="200" w:firstLine="480"/>
              <w:rPr>
                <w:rFonts w:ascii="仿宋" w:eastAsia="仿宋" w:hAnsi="仿宋" w:cs="Arial"/>
                <w:bCs/>
                <w:kern w:val="0"/>
                <w:sz w:val="24"/>
              </w:rPr>
            </w:pPr>
            <w:r>
              <w:rPr>
                <w:rFonts w:ascii="仿宋" w:eastAsia="仿宋" w:hAnsi="仿宋" w:cs="Arial" w:hint="eastAsia"/>
                <w:bCs/>
                <w:kern w:val="0"/>
                <w:sz w:val="24"/>
              </w:rPr>
              <w:t>……</w:t>
            </w:r>
          </w:p>
          <w:p w:rsidR="001E225E" w:rsidRDefault="001E225E" w:rsidP="002B36B1">
            <w:pPr>
              <w:widowControl/>
              <w:adjustRightInd w:val="0"/>
              <w:snapToGrid w:val="0"/>
              <w:ind w:firstLineChars="200" w:firstLine="480"/>
              <w:rPr>
                <w:rFonts w:ascii="仿宋" w:eastAsia="仿宋" w:hAnsi="仿宋" w:cs="Arial"/>
                <w:bCs/>
                <w:kern w:val="0"/>
                <w:sz w:val="24"/>
              </w:rPr>
            </w:pPr>
            <w:r>
              <w:rPr>
                <w:rFonts w:ascii="仿宋" w:eastAsia="仿宋" w:hAnsi="仿宋" w:cs="Arial" w:hint="eastAsia"/>
                <w:bCs/>
                <w:kern w:val="0"/>
                <w:sz w:val="24"/>
              </w:rPr>
              <w:t>（四）实际控制关系账户合并持仓超限行为，即被交易所认定为具有实际控制关系的一组账户持仓合并计算后超出交易所规定持仓限额的行为；</w:t>
            </w:r>
          </w:p>
          <w:p w:rsidR="001E225E" w:rsidRDefault="001E225E" w:rsidP="002B36B1">
            <w:pPr>
              <w:widowControl/>
              <w:adjustRightInd w:val="0"/>
              <w:snapToGrid w:val="0"/>
              <w:ind w:firstLineChars="200" w:firstLine="480"/>
              <w:rPr>
                <w:rFonts w:ascii="仿宋" w:eastAsia="仿宋" w:hAnsi="仿宋" w:cs="Arial"/>
                <w:bCs/>
                <w:kern w:val="0"/>
                <w:sz w:val="24"/>
              </w:rPr>
            </w:pPr>
            <w:r>
              <w:rPr>
                <w:rFonts w:ascii="仿宋" w:eastAsia="仿宋" w:hAnsi="仿宋" w:cs="Arial" w:hint="eastAsia"/>
                <w:bCs/>
                <w:kern w:val="0"/>
                <w:sz w:val="24"/>
              </w:rPr>
              <w:t>（五）程序化交易扰乱交易秩序行为，即采取程序化交易方式下达交易指令，可能影响交易所系统安全或者正常交易秩序的行为；</w:t>
            </w:r>
          </w:p>
          <w:p w:rsidR="001E225E" w:rsidRDefault="001E225E" w:rsidP="002B36B1">
            <w:pPr>
              <w:widowControl/>
              <w:adjustRightInd w:val="0"/>
              <w:snapToGrid w:val="0"/>
              <w:ind w:firstLineChars="200" w:firstLine="480"/>
              <w:rPr>
                <w:rFonts w:ascii="仿宋" w:eastAsia="仿宋" w:hAnsi="仿宋" w:cs="Arial"/>
                <w:b/>
                <w:bCs/>
                <w:kern w:val="0"/>
                <w:sz w:val="24"/>
                <w:szCs w:val="22"/>
              </w:rPr>
            </w:pPr>
            <w:r>
              <w:rPr>
                <w:rFonts w:ascii="仿宋" w:eastAsia="仿宋" w:hAnsi="仿宋" w:cs="Arial" w:hint="eastAsia"/>
                <w:bCs/>
                <w:kern w:val="0"/>
                <w:sz w:val="24"/>
              </w:rPr>
              <w:t>（六）中国证监会规定或者交易所认定的其他行为。</w:t>
            </w:r>
          </w:p>
        </w:tc>
        <w:tc>
          <w:tcPr>
            <w:tcW w:w="4465" w:type="dxa"/>
            <w:tcBorders>
              <w:top w:val="nil"/>
              <w:left w:val="nil"/>
              <w:bottom w:val="single" w:sz="4" w:space="0" w:color="auto"/>
              <w:right w:val="single" w:sz="4" w:space="0" w:color="auto"/>
            </w:tcBorders>
            <w:hideMark/>
          </w:tcPr>
          <w:p w:rsidR="001E225E" w:rsidRDefault="001E225E" w:rsidP="002B36B1">
            <w:pPr>
              <w:adjustRightInd w:val="0"/>
              <w:snapToGrid w:val="0"/>
              <w:ind w:firstLineChars="200" w:firstLine="482"/>
              <w:rPr>
                <w:rFonts w:ascii="仿宋" w:eastAsia="仿宋" w:hAnsi="仿宋"/>
                <w:sz w:val="24"/>
              </w:rPr>
            </w:pPr>
            <w:r>
              <w:rPr>
                <w:rFonts w:ascii="仿宋" w:eastAsia="仿宋" w:hAnsi="仿宋" w:hint="eastAsia"/>
                <w:b/>
                <w:sz w:val="24"/>
              </w:rPr>
              <w:t>第五条</w:t>
            </w:r>
            <w:r>
              <w:rPr>
                <w:rFonts w:ascii="仿宋" w:eastAsia="仿宋" w:hAnsi="仿宋" w:hint="eastAsia"/>
                <w:sz w:val="24"/>
              </w:rPr>
              <w:t xml:space="preserve"> 期货交易出现以下情形之一的，交易所认定为异常交易行为：</w:t>
            </w:r>
          </w:p>
          <w:p w:rsidR="001E225E" w:rsidRDefault="001E225E" w:rsidP="002B36B1">
            <w:pPr>
              <w:adjustRightInd w:val="0"/>
              <w:snapToGrid w:val="0"/>
              <w:ind w:firstLineChars="200" w:firstLine="480"/>
              <w:rPr>
                <w:rFonts w:ascii="仿宋" w:eastAsia="仿宋" w:hAnsi="仿宋"/>
                <w:sz w:val="24"/>
              </w:rPr>
            </w:pPr>
            <w:r>
              <w:rPr>
                <w:rFonts w:ascii="仿宋" w:eastAsia="仿宋" w:hAnsi="仿宋" w:hint="eastAsia"/>
                <w:sz w:val="24"/>
              </w:rPr>
              <w:t>……</w:t>
            </w:r>
          </w:p>
          <w:p w:rsidR="001E225E" w:rsidRDefault="001E225E" w:rsidP="002B36B1">
            <w:pPr>
              <w:adjustRightInd w:val="0"/>
              <w:snapToGrid w:val="0"/>
              <w:ind w:firstLineChars="200" w:firstLine="480"/>
              <w:rPr>
                <w:rFonts w:ascii="仿宋" w:eastAsia="仿宋" w:hAnsi="仿宋"/>
                <w:dstrike/>
                <w:sz w:val="24"/>
              </w:rPr>
            </w:pPr>
            <w:r>
              <w:rPr>
                <w:rFonts w:ascii="仿宋" w:eastAsia="仿宋" w:hAnsi="仿宋" w:hint="eastAsia"/>
                <w:dstrike/>
                <w:sz w:val="24"/>
              </w:rPr>
              <w:t>（四）实际控制关系账户合并持仓超限行为，即被交易所认定为具有实际控制关系的一组账户持仓合并计算后超出交易所规定持仓限额的行为；</w:t>
            </w:r>
          </w:p>
          <w:p w:rsidR="001E225E" w:rsidRDefault="001E225E" w:rsidP="002B36B1">
            <w:pPr>
              <w:adjustRightInd w:val="0"/>
              <w:snapToGrid w:val="0"/>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dstrike/>
                <w:sz w:val="24"/>
              </w:rPr>
              <w:t>五</w:t>
            </w:r>
            <w:r>
              <w:rPr>
                <w:rFonts w:ascii="仿宋" w:eastAsia="仿宋" w:hAnsi="仿宋" w:hint="eastAsia"/>
                <w:b/>
                <w:sz w:val="24"/>
                <w:u w:val="single"/>
              </w:rPr>
              <w:t>四</w:t>
            </w:r>
            <w:r>
              <w:rPr>
                <w:rFonts w:ascii="仿宋" w:eastAsia="仿宋" w:hAnsi="仿宋" w:hint="eastAsia"/>
                <w:sz w:val="24"/>
              </w:rPr>
              <w:t>）程序化交易扰乱交易秩序行为，即采取程序化交易方式下达交易指令，可能影响交易所系统安全或者正常交易秩序的行为；</w:t>
            </w:r>
          </w:p>
          <w:p w:rsidR="001E225E" w:rsidRDefault="001E225E" w:rsidP="002B36B1">
            <w:pPr>
              <w:adjustRightInd w:val="0"/>
              <w:snapToGrid w:val="0"/>
              <w:ind w:firstLineChars="200" w:firstLine="480"/>
              <w:rPr>
                <w:rFonts w:ascii="仿宋" w:eastAsia="仿宋" w:hAnsi="仿宋"/>
                <w:sz w:val="24"/>
                <w:szCs w:val="22"/>
              </w:rPr>
            </w:pPr>
            <w:r>
              <w:rPr>
                <w:rFonts w:ascii="仿宋" w:eastAsia="仿宋" w:hAnsi="仿宋" w:hint="eastAsia"/>
                <w:sz w:val="24"/>
              </w:rPr>
              <w:t>（</w:t>
            </w:r>
            <w:r>
              <w:rPr>
                <w:rFonts w:ascii="仿宋" w:eastAsia="仿宋" w:hAnsi="仿宋" w:hint="eastAsia"/>
                <w:dstrike/>
                <w:sz w:val="24"/>
              </w:rPr>
              <w:t>六</w:t>
            </w:r>
            <w:r>
              <w:rPr>
                <w:rFonts w:ascii="仿宋" w:eastAsia="仿宋" w:hAnsi="仿宋" w:hint="eastAsia"/>
                <w:b/>
                <w:sz w:val="24"/>
                <w:u w:val="single"/>
              </w:rPr>
              <w:t>五</w:t>
            </w:r>
            <w:r>
              <w:rPr>
                <w:rFonts w:ascii="仿宋" w:eastAsia="仿宋" w:hAnsi="仿宋" w:hint="eastAsia"/>
                <w:sz w:val="24"/>
              </w:rPr>
              <w:t>）中国证监会规定或者交易所认定的其他行为。</w:t>
            </w:r>
          </w:p>
        </w:tc>
      </w:tr>
      <w:tr w:rsidR="001E225E" w:rsidTr="002B36B1">
        <w:trPr>
          <w:trHeight w:val="255"/>
          <w:jc w:val="center"/>
        </w:trPr>
        <w:tc>
          <w:tcPr>
            <w:tcW w:w="4465" w:type="dxa"/>
            <w:tcBorders>
              <w:top w:val="single" w:sz="4" w:space="0" w:color="auto"/>
              <w:left w:val="single" w:sz="4" w:space="0" w:color="auto"/>
              <w:bottom w:val="single" w:sz="4" w:space="0" w:color="auto"/>
              <w:right w:val="single" w:sz="4" w:space="0" w:color="auto"/>
            </w:tcBorders>
            <w:noWrap/>
            <w:vAlign w:val="center"/>
            <w:hideMark/>
          </w:tcPr>
          <w:p w:rsidR="001E225E" w:rsidRDefault="001E225E" w:rsidP="002B36B1">
            <w:pPr>
              <w:widowControl/>
              <w:adjustRightInd w:val="0"/>
              <w:snapToGrid w:val="0"/>
              <w:ind w:firstLineChars="200" w:firstLine="482"/>
              <w:rPr>
                <w:rFonts w:ascii="仿宋" w:eastAsia="仿宋" w:hAnsi="仿宋" w:cs="Arial"/>
                <w:kern w:val="0"/>
                <w:sz w:val="24"/>
              </w:rPr>
            </w:pPr>
            <w:r>
              <w:rPr>
                <w:rFonts w:ascii="仿宋" w:eastAsia="仿宋" w:hAnsi="仿宋" w:cs="Arial" w:hint="eastAsia"/>
                <w:b/>
                <w:kern w:val="0"/>
                <w:sz w:val="24"/>
              </w:rPr>
              <w:t>第六条</w:t>
            </w:r>
            <w:r>
              <w:rPr>
                <w:rFonts w:ascii="仿宋" w:eastAsia="仿宋" w:hAnsi="仿宋" w:cs="Arial" w:hint="eastAsia"/>
                <w:kern w:val="0"/>
                <w:sz w:val="24"/>
              </w:rPr>
              <w:t xml:space="preserve"> 客户或者一组实际控制关系账户合并计算后出现以下情形之一的，即达到自成交、频繁报撤单、</w:t>
            </w:r>
            <w:proofErr w:type="gramStart"/>
            <w:r>
              <w:rPr>
                <w:rFonts w:ascii="仿宋" w:eastAsia="仿宋" w:hAnsi="仿宋" w:cs="Arial" w:hint="eastAsia"/>
                <w:kern w:val="0"/>
                <w:sz w:val="24"/>
              </w:rPr>
              <w:t>大额报</w:t>
            </w:r>
            <w:proofErr w:type="gramEnd"/>
            <w:r>
              <w:rPr>
                <w:rFonts w:ascii="仿宋" w:eastAsia="仿宋" w:hAnsi="仿宋" w:cs="Arial" w:hint="eastAsia"/>
                <w:kern w:val="0"/>
                <w:sz w:val="24"/>
              </w:rPr>
              <w:t>撤单、实际控制关系账户合并持仓超限等异常交易行为处理标准：</w:t>
            </w:r>
          </w:p>
          <w:p w:rsidR="001E225E" w:rsidRDefault="001E225E" w:rsidP="002B36B1">
            <w:pPr>
              <w:widowControl/>
              <w:adjustRightInd w:val="0"/>
              <w:snapToGrid w:val="0"/>
              <w:ind w:firstLineChars="200" w:firstLine="480"/>
              <w:rPr>
                <w:rFonts w:ascii="仿宋" w:eastAsia="仿宋" w:hAnsi="仿宋" w:cs="Arial"/>
                <w:kern w:val="0"/>
                <w:sz w:val="24"/>
              </w:rPr>
            </w:pPr>
            <w:r>
              <w:rPr>
                <w:rFonts w:ascii="仿宋" w:eastAsia="仿宋" w:hAnsi="仿宋" w:cs="Arial" w:hint="eastAsia"/>
                <w:kern w:val="0"/>
                <w:sz w:val="24"/>
              </w:rPr>
              <w:t>……</w:t>
            </w:r>
          </w:p>
          <w:p w:rsidR="001E225E" w:rsidRDefault="001E225E" w:rsidP="002B36B1">
            <w:pPr>
              <w:widowControl/>
              <w:adjustRightInd w:val="0"/>
              <w:snapToGrid w:val="0"/>
              <w:ind w:firstLineChars="200" w:firstLine="480"/>
              <w:rPr>
                <w:rFonts w:ascii="仿宋" w:eastAsia="仿宋" w:hAnsi="仿宋" w:cs="Arial"/>
                <w:kern w:val="0"/>
                <w:sz w:val="24"/>
                <w:szCs w:val="22"/>
              </w:rPr>
            </w:pPr>
            <w:r>
              <w:rPr>
                <w:rFonts w:ascii="仿宋" w:eastAsia="仿宋" w:hAnsi="仿宋" w:cs="Arial" w:hint="eastAsia"/>
                <w:kern w:val="0"/>
                <w:sz w:val="24"/>
              </w:rPr>
              <w:t>（四）一组实际控制关系账户持仓合并计算后超出交易所规定的持仓限额。</w:t>
            </w:r>
          </w:p>
        </w:tc>
        <w:tc>
          <w:tcPr>
            <w:tcW w:w="4465" w:type="dxa"/>
            <w:tcBorders>
              <w:top w:val="nil"/>
              <w:left w:val="nil"/>
              <w:bottom w:val="single" w:sz="4" w:space="0" w:color="auto"/>
              <w:right w:val="single" w:sz="4" w:space="0" w:color="auto"/>
            </w:tcBorders>
            <w:noWrap/>
            <w:vAlign w:val="center"/>
            <w:hideMark/>
          </w:tcPr>
          <w:p w:rsidR="001E225E" w:rsidRDefault="001E225E" w:rsidP="002B36B1">
            <w:pPr>
              <w:adjustRightInd w:val="0"/>
              <w:snapToGrid w:val="0"/>
              <w:ind w:firstLineChars="200" w:firstLine="482"/>
              <w:rPr>
                <w:rFonts w:ascii="仿宋" w:eastAsia="仿宋" w:hAnsi="仿宋"/>
                <w:sz w:val="24"/>
              </w:rPr>
            </w:pPr>
            <w:r>
              <w:rPr>
                <w:rFonts w:ascii="仿宋" w:eastAsia="仿宋" w:hAnsi="仿宋" w:hint="eastAsia"/>
                <w:b/>
                <w:sz w:val="24"/>
              </w:rPr>
              <w:t>第六条</w:t>
            </w:r>
            <w:r>
              <w:rPr>
                <w:rFonts w:ascii="仿宋" w:eastAsia="仿宋" w:hAnsi="仿宋" w:hint="eastAsia"/>
                <w:sz w:val="24"/>
              </w:rPr>
              <w:t xml:space="preserve"> 客户或者一组实际控制关系账户合并计算后出现以下情形之一的，即达到自成交、频繁报撤单、</w:t>
            </w:r>
            <w:proofErr w:type="gramStart"/>
            <w:r>
              <w:rPr>
                <w:rFonts w:ascii="仿宋" w:eastAsia="仿宋" w:hAnsi="仿宋" w:hint="eastAsia"/>
                <w:sz w:val="24"/>
              </w:rPr>
              <w:t>大额报</w:t>
            </w:r>
            <w:proofErr w:type="gramEnd"/>
            <w:r>
              <w:rPr>
                <w:rFonts w:ascii="仿宋" w:eastAsia="仿宋" w:hAnsi="仿宋" w:hint="eastAsia"/>
                <w:sz w:val="24"/>
              </w:rPr>
              <w:t>撤单</w:t>
            </w:r>
            <w:r>
              <w:rPr>
                <w:rFonts w:ascii="仿宋" w:eastAsia="仿宋" w:hAnsi="仿宋" w:hint="eastAsia"/>
                <w:dstrike/>
                <w:sz w:val="24"/>
              </w:rPr>
              <w:t>、实际控制关系账户合并持仓超限</w:t>
            </w:r>
            <w:r>
              <w:rPr>
                <w:rFonts w:ascii="仿宋" w:eastAsia="仿宋" w:hAnsi="仿宋" w:hint="eastAsia"/>
                <w:sz w:val="24"/>
              </w:rPr>
              <w:t>等异常交易行为处理标准：</w:t>
            </w:r>
          </w:p>
          <w:p w:rsidR="001E225E" w:rsidRDefault="001E225E" w:rsidP="002B36B1">
            <w:pPr>
              <w:adjustRightInd w:val="0"/>
              <w:snapToGrid w:val="0"/>
              <w:ind w:firstLineChars="200" w:firstLine="480"/>
              <w:rPr>
                <w:rFonts w:ascii="仿宋" w:eastAsia="仿宋" w:hAnsi="仿宋"/>
                <w:sz w:val="24"/>
              </w:rPr>
            </w:pPr>
            <w:r>
              <w:rPr>
                <w:rFonts w:ascii="仿宋" w:eastAsia="仿宋" w:hAnsi="仿宋" w:hint="eastAsia"/>
                <w:sz w:val="24"/>
              </w:rPr>
              <w:t>……</w:t>
            </w:r>
          </w:p>
          <w:p w:rsidR="001E225E" w:rsidRDefault="001E225E" w:rsidP="002B36B1">
            <w:pPr>
              <w:adjustRightInd w:val="0"/>
              <w:snapToGrid w:val="0"/>
              <w:ind w:firstLineChars="200" w:firstLine="480"/>
              <w:rPr>
                <w:rFonts w:ascii="仿宋" w:eastAsia="仿宋" w:hAnsi="仿宋"/>
                <w:strike/>
                <w:sz w:val="24"/>
                <w:szCs w:val="22"/>
              </w:rPr>
            </w:pPr>
            <w:r>
              <w:rPr>
                <w:rFonts w:ascii="仿宋" w:eastAsia="仿宋" w:hAnsi="仿宋" w:hint="eastAsia"/>
                <w:dstrike/>
                <w:sz w:val="24"/>
              </w:rPr>
              <w:t>（四）一组实际控制关系账户持仓合并计算后超出交易所规定的持仓限额。</w:t>
            </w:r>
          </w:p>
        </w:tc>
      </w:tr>
      <w:tr w:rsidR="001E225E" w:rsidTr="002B36B1">
        <w:trPr>
          <w:trHeight w:val="255"/>
          <w:jc w:val="center"/>
        </w:trPr>
        <w:tc>
          <w:tcPr>
            <w:tcW w:w="4465" w:type="dxa"/>
            <w:tcBorders>
              <w:top w:val="single" w:sz="4" w:space="0" w:color="auto"/>
              <w:left w:val="single" w:sz="4" w:space="0" w:color="auto"/>
              <w:bottom w:val="single" w:sz="4" w:space="0" w:color="auto"/>
              <w:right w:val="single" w:sz="4" w:space="0" w:color="auto"/>
            </w:tcBorders>
            <w:noWrap/>
            <w:vAlign w:val="center"/>
            <w:hideMark/>
          </w:tcPr>
          <w:p w:rsidR="001E225E" w:rsidRDefault="001E225E" w:rsidP="002B36B1">
            <w:pPr>
              <w:widowControl/>
              <w:spacing w:beforeAutospacing="1" w:afterAutospacing="1"/>
              <w:jc w:val="left"/>
              <w:rPr>
                <w:rFonts w:asciiTheme="minorHAnsi" w:hAnsiTheme="minorHAnsi"/>
                <w:szCs w:val="22"/>
              </w:rPr>
            </w:pPr>
          </w:p>
        </w:tc>
        <w:tc>
          <w:tcPr>
            <w:tcW w:w="4465" w:type="dxa"/>
            <w:tcBorders>
              <w:top w:val="nil"/>
              <w:left w:val="nil"/>
              <w:bottom w:val="single" w:sz="4" w:space="0" w:color="auto"/>
              <w:right w:val="single" w:sz="4" w:space="0" w:color="auto"/>
            </w:tcBorders>
            <w:noWrap/>
            <w:vAlign w:val="center"/>
            <w:hideMark/>
          </w:tcPr>
          <w:p w:rsidR="001E225E" w:rsidRDefault="001E225E" w:rsidP="002B36B1">
            <w:pPr>
              <w:adjustRightInd w:val="0"/>
              <w:snapToGrid w:val="0"/>
              <w:ind w:firstLineChars="200" w:firstLine="482"/>
              <w:rPr>
                <w:rFonts w:ascii="仿宋" w:eastAsia="仿宋" w:hAnsi="仿宋"/>
                <w:sz w:val="24"/>
                <w:szCs w:val="22"/>
              </w:rPr>
            </w:pPr>
            <w:r>
              <w:rPr>
                <w:rFonts w:ascii="仿宋" w:eastAsia="仿宋" w:hAnsi="仿宋" w:hint="eastAsia"/>
                <w:b/>
                <w:sz w:val="24"/>
                <w:u w:val="single"/>
              </w:rPr>
              <w:t>第十一条 实施申报费收费的合约上产生的</w:t>
            </w:r>
            <w:proofErr w:type="gramStart"/>
            <w:r>
              <w:rPr>
                <w:rFonts w:ascii="仿宋" w:eastAsia="仿宋" w:hAnsi="仿宋" w:hint="eastAsia"/>
                <w:b/>
                <w:sz w:val="24"/>
                <w:u w:val="single"/>
              </w:rPr>
              <w:t>频繁报撤单行</w:t>
            </w:r>
            <w:proofErr w:type="gramEnd"/>
            <w:r>
              <w:rPr>
                <w:rFonts w:ascii="仿宋" w:eastAsia="仿宋" w:hAnsi="仿宋" w:hint="eastAsia"/>
                <w:b/>
                <w:sz w:val="24"/>
                <w:u w:val="single"/>
              </w:rPr>
              <w:t>为不构成异常交易行为。</w:t>
            </w:r>
          </w:p>
        </w:tc>
      </w:tr>
      <w:tr w:rsidR="001E225E" w:rsidTr="002B36B1">
        <w:trPr>
          <w:trHeight w:val="255"/>
          <w:jc w:val="center"/>
        </w:trPr>
        <w:tc>
          <w:tcPr>
            <w:tcW w:w="4465" w:type="dxa"/>
            <w:tcBorders>
              <w:top w:val="single" w:sz="4" w:space="0" w:color="auto"/>
              <w:left w:val="single" w:sz="4" w:space="0" w:color="auto"/>
              <w:bottom w:val="single" w:sz="4" w:space="0" w:color="auto"/>
              <w:right w:val="single" w:sz="4" w:space="0" w:color="auto"/>
            </w:tcBorders>
            <w:noWrap/>
            <w:vAlign w:val="center"/>
            <w:hideMark/>
          </w:tcPr>
          <w:p w:rsidR="001E225E" w:rsidRDefault="001E225E" w:rsidP="002B36B1">
            <w:pPr>
              <w:widowControl/>
              <w:adjustRightInd w:val="0"/>
              <w:snapToGrid w:val="0"/>
              <w:ind w:firstLineChars="200" w:firstLine="482"/>
              <w:rPr>
                <w:rFonts w:ascii="仿宋" w:eastAsia="仿宋" w:hAnsi="仿宋" w:cs="Arial"/>
                <w:kern w:val="0"/>
                <w:sz w:val="24"/>
                <w:szCs w:val="22"/>
              </w:rPr>
            </w:pPr>
            <w:r>
              <w:rPr>
                <w:rFonts w:ascii="仿宋" w:eastAsia="仿宋" w:hAnsi="仿宋" w:cs="Arial" w:hint="eastAsia"/>
                <w:b/>
                <w:kern w:val="0"/>
                <w:sz w:val="24"/>
              </w:rPr>
              <w:t>第十一条</w:t>
            </w:r>
            <w:r>
              <w:rPr>
                <w:rFonts w:ascii="仿宋" w:eastAsia="仿宋" w:hAnsi="仿宋" w:cs="Arial" w:hint="eastAsia"/>
                <w:kern w:val="0"/>
                <w:sz w:val="24"/>
              </w:rPr>
              <w:t xml:space="preserve"> 客户或者一组实际控制关系账户单个交易日在两个以上合约因自成交、频繁报撤单、</w:t>
            </w:r>
            <w:proofErr w:type="gramStart"/>
            <w:r>
              <w:rPr>
                <w:rFonts w:ascii="仿宋" w:eastAsia="仿宋" w:hAnsi="仿宋" w:cs="Arial" w:hint="eastAsia"/>
                <w:kern w:val="0"/>
                <w:sz w:val="24"/>
              </w:rPr>
              <w:t>大额报</w:t>
            </w:r>
            <w:proofErr w:type="gramEnd"/>
            <w:r>
              <w:rPr>
                <w:rFonts w:ascii="仿宋" w:eastAsia="仿宋" w:hAnsi="仿宋" w:cs="Arial" w:hint="eastAsia"/>
                <w:kern w:val="0"/>
                <w:sz w:val="24"/>
              </w:rPr>
              <w:t>撤单或者实际控制关系账户合并持仓超限达到异常交易行为处理标准的，同一种异常交易行为按照发生一次认定。</w:t>
            </w:r>
          </w:p>
        </w:tc>
        <w:tc>
          <w:tcPr>
            <w:tcW w:w="4465" w:type="dxa"/>
            <w:tcBorders>
              <w:top w:val="nil"/>
              <w:left w:val="nil"/>
              <w:bottom w:val="single" w:sz="4" w:space="0" w:color="auto"/>
              <w:right w:val="single" w:sz="4" w:space="0" w:color="auto"/>
            </w:tcBorders>
            <w:noWrap/>
            <w:vAlign w:val="center"/>
            <w:hideMark/>
          </w:tcPr>
          <w:p w:rsidR="001E225E" w:rsidRDefault="001E225E" w:rsidP="002B36B1">
            <w:pPr>
              <w:adjustRightInd w:val="0"/>
              <w:snapToGrid w:val="0"/>
              <w:ind w:firstLineChars="200" w:firstLine="482"/>
              <w:rPr>
                <w:rFonts w:ascii="仿宋" w:eastAsia="仿宋" w:hAnsi="仿宋"/>
                <w:sz w:val="24"/>
                <w:szCs w:val="22"/>
              </w:rPr>
            </w:pPr>
            <w:r>
              <w:rPr>
                <w:rFonts w:ascii="仿宋" w:eastAsia="仿宋" w:hAnsi="仿宋" w:hint="eastAsia"/>
                <w:b/>
                <w:sz w:val="24"/>
              </w:rPr>
              <w:t>第</w:t>
            </w:r>
            <w:r>
              <w:rPr>
                <w:rFonts w:ascii="仿宋" w:eastAsia="仿宋" w:hAnsi="仿宋" w:hint="eastAsia"/>
                <w:b/>
                <w:dstrike/>
                <w:sz w:val="24"/>
              </w:rPr>
              <w:t>十一</w:t>
            </w:r>
            <w:r>
              <w:rPr>
                <w:rFonts w:ascii="仿宋" w:eastAsia="仿宋" w:hAnsi="仿宋" w:hint="eastAsia"/>
                <w:b/>
                <w:sz w:val="24"/>
                <w:u w:val="single"/>
              </w:rPr>
              <w:t>十二</w:t>
            </w:r>
            <w:r>
              <w:rPr>
                <w:rFonts w:ascii="仿宋" w:eastAsia="仿宋" w:hAnsi="仿宋" w:hint="eastAsia"/>
                <w:b/>
                <w:sz w:val="24"/>
              </w:rPr>
              <w:t>条</w:t>
            </w:r>
            <w:r>
              <w:rPr>
                <w:rFonts w:ascii="仿宋" w:eastAsia="仿宋" w:hAnsi="仿宋" w:hint="eastAsia"/>
                <w:sz w:val="24"/>
              </w:rPr>
              <w:t xml:space="preserve"> 客户或者一组实际控制关系账户单个交易日在两个以上合约因自成交、频繁报撤单、</w:t>
            </w:r>
            <w:proofErr w:type="gramStart"/>
            <w:r>
              <w:rPr>
                <w:rFonts w:ascii="仿宋" w:eastAsia="仿宋" w:hAnsi="仿宋" w:hint="eastAsia"/>
                <w:sz w:val="24"/>
              </w:rPr>
              <w:t>大额报</w:t>
            </w:r>
            <w:proofErr w:type="gramEnd"/>
            <w:r>
              <w:rPr>
                <w:rFonts w:ascii="仿宋" w:eastAsia="仿宋" w:hAnsi="仿宋" w:hint="eastAsia"/>
                <w:sz w:val="24"/>
              </w:rPr>
              <w:t>撤单</w:t>
            </w:r>
            <w:r>
              <w:rPr>
                <w:rFonts w:ascii="仿宋" w:eastAsia="仿宋" w:hAnsi="仿宋" w:hint="eastAsia"/>
                <w:dstrike/>
                <w:sz w:val="24"/>
              </w:rPr>
              <w:t>或者实际控制关系账户合并持仓超限</w:t>
            </w:r>
            <w:r>
              <w:rPr>
                <w:rFonts w:ascii="仿宋" w:eastAsia="仿宋" w:hAnsi="仿宋" w:hint="eastAsia"/>
                <w:sz w:val="24"/>
              </w:rPr>
              <w:t>达到异常交易行为处理标准的，同一种异常交易行为按照发生一次认定。</w:t>
            </w:r>
          </w:p>
        </w:tc>
      </w:tr>
      <w:tr w:rsidR="001E225E" w:rsidTr="002B36B1">
        <w:trPr>
          <w:trHeight w:val="946"/>
          <w:jc w:val="center"/>
        </w:trPr>
        <w:tc>
          <w:tcPr>
            <w:tcW w:w="4465" w:type="dxa"/>
            <w:tcBorders>
              <w:top w:val="single" w:sz="4" w:space="0" w:color="auto"/>
              <w:left w:val="single" w:sz="4" w:space="0" w:color="auto"/>
              <w:bottom w:val="single" w:sz="4" w:space="0" w:color="auto"/>
              <w:right w:val="single" w:sz="4" w:space="0" w:color="auto"/>
            </w:tcBorders>
            <w:noWrap/>
            <w:vAlign w:val="center"/>
            <w:hideMark/>
          </w:tcPr>
          <w:p w:rsidR="001E225E" w:rsidRDefault="001E225E" w:rsidP="002B36B1">
            <w:pPr>
              <w:widowControl/>
              <w:adjustRightInd w:val="0"/>
              <w:snapToGrid w:val="0"/>
              <w:ind w:firstLineChars="200" w:firstLine="482"/>
              <w:rPr>
                <w:rFonts w:ascii="仿宋" w:eastAsia="仿宋" w:hAnsi="仿宋" w:cs="Arial"/>
                <w:kern w:val="0"/>
                <w:sz w:val="24"/>
                <w:szCs w:val="22"/>
              </w:rPr>
            </w:pPr>
            <w:r>
              <w:rPr>
                <w:rFonts w:ascii="仿宋" w:eastAsia="仿宋" w:hAnsi="仿宋" w:cs="Arial" w:hint="eastAsia"/>
                <w:b/>
                <w:kern w:val="0"/>
                <w:sz w:val="24"/>
              </w:rPr>
              <w:t>第十六条</w:t>
            </w:r>
            <w:r>
              <w:rPr>
                <w:rFonts w:ascii="仿宋" w:eastAsia="仿宋" w:hAnsi="仿宋" w:cs="Arial" w:hint="eastAsia"/>
                <w:kern w:val="0"/>
                <w:sz w:val="24"/>
              </w:rPr>
              <w:t xml:space="preserve"> 一组实际控制关系账户出现自成交、频繁报撤单和</w:t>
            </w:r>
            <w:proofErr w:type="gramStart"/>
            <w:r>
              <w:rPr>
                <w:rFonts w:ascii="仿宋" w:eastAsia="仿宋" w:hAnsi="仿宋" w:cs="Arial" w:hint="eastAsia"/>
                <w:kern w:val="0"/>
                <w:sz w:val="24"/>
              </w:rPr>
              <w:t>大额报撤</w:t>
            </w:r>
            <w:proofErr w:type="gramEnd"/>
            <w:r>
              <w:rPr>
                <w:rFonts w:ascii="仿宋" w:eastAsia="仿宋" w:hAnsi="仿宋" w:cs="Arial" w:hint="eastAsia"/>
                <w:kern w:val="0"/>
                <w:sz w:val="24"/>
              </w:rPr>
              <w:t>单行为，达到异常交易处理标准的，交易所按照本办法第十二条至第十五条的规定进行处理。</w:t>
            </w:r>
          </w:p>
        </w:tc>
        <w:tc>
          <w:tcPr>
            <w:tcW w:w="4465" w:type="dxa"/>
            <w:tcBorders>
              <w:top w:val="nil"/>
              <w:left w:val="nil"/>
              <w:bottom w:val="single" w:sz="4" w:space="0" w:color="auto"/>
              <w:right w:val="single" w:sz="4" w:space="0" w:color="auto"/>
            </w:tcBorders>
            <w:noWrap/>
            <w:vAlign w:val="center"/>
            <w:hideMark/>
          </w:tcPr>
          <w:p w:rsidR="001E225E" w:rsidRDefault="001E225E" w:rsidP="002B36B1">
            <w:pPr>
              <w:adjustRightInd w:val="0"/>
              <w:snapToGrid w:val="0"/>
              <w:ind w:firstLineChars="250" w:firstLine="602"/>
              <w:rPr>
                <w:rFonts w:ascii="仿宋" w:eastAsia="仿宋" w:hAnsi="仿宋"/>
                <w:sz w:val="24"/>
                <w:szCs w:val="22"/>
              </w:rPr>
            </w:pPr>
            <w:r>
              <w:rPr>
                <w:rFonts w:ascii="仿宋" w:eastAsia="仿宋" w:hAnsi="仿宋" w:hint="eastAsia"/>
                <w:b/>
                <w:sz w:val="24"/>
              </w:rPr>
              <w:t>第</w:t>
            </w:r>
            <w:r>
              <w:rPr>
                <w:rFonts w:ascii="仿宋" w:eastAsia="仿宋" w:hAnsi="仿宋" w:hint="eastAsia"/>
                <w:b/>
                <w:dstrike/>
                <w:sz w:val="24"/>
              </w:rPr>
              <w:t>十六</w:t>
            </w:r>
            <w:r>
              <w:rPr>
                <w:rFonts w:ascii="仿宋" w:eastAsia="仿宋" w:hAnsi="仿宋" w:hint="eastAsia"/>
                <w:b/>
                <w:sz w:val="24"/>
                <w:u w:val="single"/>
              </w:rPr>
              <w:t>十七</w:t>
            </w:r>
            <w:r>
              <w:rPr>
                <w:rFonts w:ascii="仿宋" w:eastAsia="仿宋" w:hAnsi="仿宋" w:hint="eastAsia"/>
                <w:b/>
                <w:sz w:val="24"/>
              </w:rPr>
              <w:t>条</w:t>
            </w:r>
            <w:r>
              <w:rPr>
                <w:rFonts w:ascii="仿宋" w:eastAsia="仿宋" w:hAnsi="仿宋" w:hint="eastAsia"/>
                <w:sz w:val="24"/>
              </w:rPr>
              <w:t xml:space="preserve"> 一组实际控制关系账户出现自成交、频繁报撤单和</w:t>
            </w:r>
            <w:proofErr w:type="gramStart"/>
            <w:r>
              <w:rPr>
                <w:rFonts w:ascii="仿宋" w:eastAsia="仿宋" w:hAnsi="仿宋" w:hint="eastAsia"/>
                <w:sz w:val="24"/>
              </w:rPr>
              <w:t>大额报撤</w:t>
            </w:r>
            <w:proofErr w:type="gramEnd"/>
            <w:r>
              <w:rPr>
                <w:rFonts w:ascii="仿宋" w:eastAsia="仿宋" w:hAnsi="仿宋" w:hint="eastAsia"/>
                <w:sz w:val="24"/>
              </w:rPr>
              <w:t>单行为，达到异常交易处理标准的，交易所按照本办法第</w:t>
            </w:r>
            <w:r>
              <w:rPr>
                <w:rFonts w:ascii="仿宋" w:eastAsia="仿宋" w:hAnsi="仿宋" w:hint="eastAsia"/>
                <w:dstrike/>
                <w:sz w:val="24"/>
              </w:rPr>
              <w:t>十二</w:t>
            </w:r>
            <w:r>
              <w:rPr>
                <w:rFonts w:ascii="仿宋" w:eastAsia="仿宋" w:hAnsi="仿宋" w:hint="eastAsia"/>
                <w:b/>
                <w:sz w:val="24"/>
                <w:u w:val="single"/>
              </w:rPr>
              <w:t>十三</w:t>
            </w:r>
            <w:r>
              <w:rPr>
                <w:rFonts w:ascii="仿宋" w:eastAsia="仿宋" w:hAnsi="仿宋" w:hint="eastAsia"/>
                <w:sz w:val="24"/>
              </w:rPr>
              <w:t>条至第</w:t>
            </w:r>
            <w:r>
              <w:rPr>
                <w:rFonts w:ascii="仿宋" w:eastAsia="仿宋" w:hAnsi="仿宋" w:hint="eastAsia"/>
                <w:dstrike/>
                <w:sz w:val="24"/>
              </w:rPr>
              <w:t>十五</w:t>
            </w:r>
            <w:r>
              <w:rPr>
                <w:rFonts w:ascii="仿宋" w:eastAsia="仿宋" w:hAnsi="仿宋" w:hint="eastAsia"/>
                <w:b/>
                <w:sz w:val="24"/>
                <w:u w:val="single"/>
              </w:rPr>
              <w:t>十六</w:t>
            </w:r>
            <w:r>
              <w:rPr>
                <w:rFonts w:ascii="仿宋" w:eastAsia="仿宋" w:hAnsi="仿宋" w:hint="eastAsia"/>
                <w:sz w:val="24"/>
              </w:rPr>
              <w:t>条的规定进行处理。</w:t>
            </w:r>
          </w:p>
        </w:tc>
      </w:tr>
      <w:tr w:rsidR="001E225E" w:rsidTr="002B36B1">
        <w:trPr>
          <w:trHeight w:val="255"/>
          <w:jc w:val="center"/>
        </w:trPr>
        <w:tc>
          <w:tcPr>
            <w:tcW w:w="4465" w:type="dxa"/>
            <w:tcBorders>
              <w:top w:val="single" w:sz="4" w:space="0" w:color="auto"/>
              <w:left w:val="single" w:sz="4" w:space="0" w:color="auto"/>
              <w:bottom w:val="single" w:sz="4" w:space="0" w:color="auto"/>
              <w:right w:val="single" w:sz="4" w:space="0" w:color="auto"/>
            </w:tcBorders>
            <w:noWrap/>
            <w:vAlign w:val="center"/>
            <w:hideMark/>
          </w:tcPr>
          <w:p w:rsidR="001E225E" w:rsidRDefault="001E225E" w:rsidP="002B36B1">
            <w:pPr>
              <w:widowControl/>
              <w:adjustRightInd w:val="0"/>
              <w:snapToGrid w:val="0"/>
              <w:ind w:firstLineChars="200" w:firstLine="482"/>
              <w:rPr>
                <w:rFonts w:ascii="仿宋" w:eastAsia="仿宋" w:hAnsi="仿宋" w:cs="Arial"/>
                <w:kern w:val="0"/>
                <w:sz w:val="24"/>
              </w:rPr>
            </w:pPr>
            <w:r>
              <w:rPr>
                <w:rFonts w:ascii="仿宋" w:eastAsia="仿宋" w:hAnsi="仿宋" w:cs="Arial" w:hint="eastAsia"/>
                <w:b/>
                <w:kern w:val="0"/>
                <w:sz w:val="24"/>
              </w:rPr>
              <w:t>第十七条</w:t>
            </w:r>
            <w:r>
              <w:rPr>
                <w:rFonts w:ascii="仿宋" w:eastAsia="仿宋" w:hAnsi="仿宋" w:cs="Arial" w:hint="eastAsia"/>
                <w:kern w:val="0"/>
                <w:sz w:val="24"/>
              </w:rPr>
              <w:t xml:space="preserve"> 一组实际控制关系账户发</w:t>
            </w:r>
            <w:r>
              <w:rPr>
                <w:rFonts w:ascii="仿宋" w:eastAsia="仿宋" w:hAnsi="仿宋" w:cs="Arial" w:hint="eastAsia"/>
                <w:kern w:val="0"/>
                <w:sz w:val="24"/>
              </w:rPr>
              <w:lastRenderedPageBreak/>
              <w:t>生合并持仓超限行为，交易所于当日闭市后通知客户所在期货公司会员，要求客户自行平仓。该组实际控制关系账户持仓分布在不同期货公司会员的，交易所通知持仓最大客户所在的期货公司会员。</w:t>
            </w:r>
          </w:p>
          <w:p w:rsidR="001E225E" w:rsidRDefault="001E225E" w:rsidP="002B36B1">
            <w:pPr>
              <w:widowControl/>
              <w:adjustRightInd w:val="0"/>
              <w:snapToGrid w:val="0"/>
              <w:ind w:firstLineChars="200" w:firstLine="480"/>
              <w:rPr>
                <w:rFonts w:ascii="仿宋" w:eastAsia="仿宋" w:hAnsi="仿宋" w:cs="Arial"/>
                <w:kern w:val="0"/>
                <w:sz w:val="24"/>
              </w:rPr>
            </w:pPr>
            <w:r>
              <w:rPr>
                <w:rFonts w:ascii="仿宋" w:eastAsia="仿宋" w:hAnsi="仿宋" w:cs="Arial" w:hint="eastAsia"/>
                <w:kern w:val="0"/>
                <w:sz w:val="24"/>
              </w:rPr>
              <w:t>客户在规定时限内未自行平仓完毕的，由交易所执行强行平仓。</w:t>
            </w:r>
          </w:p>
          <w:p w:rsidR="001E225E" w:rsidRDefault="001E225E" w:rsidP="002B36B1">
            <w:pPr>
              <w:widowControl/>
              <w:adjustRightInd w:val="0"/>
              <w:snapToGrid w:val="0"/>
              <w:ind w:firstLineChars="200" w:firstLine="480"/>
              <w:rPr>
                <w:rFonts w:ascii="仿宋" w:eastAsia="仿宋" w:hAnsi="仿宋" w:cs="Arial"/>
                <w:kern w:val="0"/>
                <w:sz w:val="24"/>
                <w:szCs w:val="22"/>
              </w:rPr>
            </w:pPr>
            <w:r>
              <w:rPr>
                <w:rFonts w:ascii="仿宋" w:eastAsia="仿宋" w:hAnsi="仿宋" w:cs="Arial" w:hint="eastAsia"/>
                <w:kern w:val="0"/>
                <w:sz w:val="24"/>
              </w:rPr>
              <w:t>由交易所执行强行平仓的，当日闭市后对该组实际控制关系账户采取限制开仓的自律监管措施，限制开仓时间不少于1个月。</w:t>
            </w:r>
          </w:p>
        </w:tc>
        <w:tc>
          <w:tcPr>
            <w:tcW w:w="4465" w:type="dxa"/>
            <w:tcBorders>
              <w:top w:val="single" w:sz="4" w:space="0" w:color="auto"/>
              <w:left w:val="nil"/>
              <w:bottom w:val="single" w:sz="4" w:space="0" w:color="auto"/>
              <w:right w:val="single" w:sz="4" w:space="0" w:color="auto"/>
            </w:tcBorders>
            <w:noWrap/>
            <w:vAlign w:val="center"/>
            <w:hideMark/>
          </w:tcPr>
          <w:p w:rsidR="001E225E" w:rsidRDefault="001E225E" w:rsidP="002B36B1">
            <w:pPr>
              <w:adjustRightInd w:val="0"/>
              <w:snapToGrid w:val="0"/>
              <w:ind w:firstLineChars="250" w:firstLine="602"/>
              <w:rPr>
                <w:rFonts w:ascii="仿宋" w:eastAsia="仿宋" w:hAnsi="仿宋"/>
                <w:dstrike/>
                <w:sz w:val="24"/>
              </w:rPr>
            </w:pPr>
            <w:r>
              <w:rPr>
                <w:rFonts w:ascii="仿宋" w:eastAsia="仿宋" w:hAnsi="仿宋" w:hint="eastAsia"/>
                <w:b/>
                <w:dstrike/>
                <w:sz w:val="24"/>
              </w:rPr>
              <w:lastRenderedPageBreak/>
              <w:t>第十七条</w:t>
            </w:r>
            <w:r>
              <w:rPr>
                <w:rFonts w:ascii="仿宋" w:eastAsia="仿宋" w:hAnsi="仿宋" w:hint="eastAsia"/>
                <w:dstrike/>
                <w:sz w:val="24"/>
              </w:rPr>
              <w:t xml:space="preserve"> 一组实际控制关系账户</w:t>
            </w:r>
            <w:r>
              <w:rPr>
                <w:rFonts w:ascii="仿宋" w:eastAsia="仿宋" w:hAnsi="仿宋" w:hint="eastAsia"/>
                <w:dstrike/>
                <w:sz w:val="24"/>
              </w:rPr>
              <w:lastRenderedPageBreak/>
              <w:t>发生合并持仓超限行为，交易所于当日闭市后通知客户所在期货公司会员，要求客户自行平仓。该组实际控制关系账户持仓分布在不同期货公司会员的，交易所通知持仓最大客户所在的期货公司会员。</w:t>
            </w:r>
          </w:p>
          <w:p w:rsidR="001E225E" w:rsidRDefault="001E225E" w:rsidP="002B36B1">
            <w:pPr>
              <w:adjustRightInd w:val="0"/>
              <w:snapToGrid w:val="0"/>
              <w:ind w:firstLineChars="250" w:firstLine="600"/>
              <w:rPr>
                <w:rFonts w:ascii="仿宋" w:eastAsia="仿宋" w:hAnsi="仿宋"/>
                <w:dstrike/>
                <w:sz w:val="24"/>
              </w:rPr>
            </w:pPr>
            <w:r>
              <w:rPr>
                <w:rFonts w:ascii="仿宋" w:eastAsia="仿宋" w:hAnsi="仿宋" w:hint="eastAsia"/>
                <w:dstrike/>
                <w:sz w:val="24"/>
              </w:rPr>
              <w:t>客户在规定时限内未自行平仓完毕的，由交易所执行强行平仓。</w:t>
            </w:r>
          </w:p>
          <w:p w:rsidR="001E225E" w:rsidRDefault="001E225E" w:rsidP="002B36B1">
            <w:pPr>
              <w:adjustRightInd w:val="0"/>
              <w:snapToGrid w:val="0"/>
              <w:ind w:firstLineChars="250" w:firstLine="600"/>
              <w:rPr>
                <w:rFonts w:ascii="仿宋" w:eastAsia="仿宋" w:hAnsi="仿宋"/>
                <w:sz w:val="24"/>
                <w:szCs w:val="22"/>
              </w:rPr>
            </w:pPr>
            <w:r>
              <w:rPr>
                <w:rFonts w:ascii="仿宋" w:eastAsia="仿宋" w:hAnsi="仿宋" w:hint="eastAsia"/>
                <w:dstrike/>
                <w:sz w:val="24"/>
              </w:rPr>
              <w:t>由交易所执行强行平仓的，当日闭市后对该组实际控制关系账户采取限制开仓的自律监管措施，限制开仓时间不少于1个月。</w:t>
            </w:r>
          </w:p>
        </w:tc>
      </w:tr>
      <w:tr w:rsidR="001E225E" w:rsidTr="002B36B1">
        <w:trPr>
          <w:trHeight w:val="255"/>
          <w:jc w:val="center"/>
        </w:trPr>
        <w:tc>
          <w:tcPr>
            <w:tcW w:w="4465" w:type="dxa"/>
            <w:tcBorders>
              <w:top w:val="single" w:sz="4" w:space="0" w:color="auto"/>
              <w:left w:val="single" w:sz="4" w:space="0" w:color="auto"/>
              <w:bottom w:val="single" w:sz="4" w:space="0" w:color="auto"/>
              <w:right w:val="single" w:sz="4" w:space="0" w:color="auto"/>
            </w:tcBorders>
            <w:noWrap/>
            <w:vAlign w:val="center"/>
            <w:hideMark/>
          </w:tcPr>
          <w:p w:rsidR="001E225E" w:rsidRDefault="001E225E" w:rsidP="002B36B1">
            <w:pPr>
              <w:widowControl/>
              <w:adjustRightInd w:val="0"/>
              <w:snapToGrid w:val="0"/>
              <w:ind w:firstLineChars="200" w:firstLine="482"/>
              <w:rPr>
                <w:rFonts w:ascii="仿宋" w:eastAsia="仿宋" w:hAnsi="仿宋" w:cs="Arial"/>
                <w:kern w:val="0"/>
                <w:sz w:val="24"/>
              </w:rPr>
            </w:pPr>
            <w:r>
              <w:rPr>
                <w:rFonts w:ascii="仿宋" w:eastAsia="仿宋" w:hAnsi="仿宋" w:cs="Arial" w:hint="eastAsia"/>
                <w:b/>
                <w:kern w:val="0"/>
                <w:sz w:val="24"/>
              </w:rPr>
              <w:lastRenderedPageBreak/>
              <w:t>第十八条</w:t>
            </w:r>
            <w:r>
              <w:rPr>
                <w:rFonts w:ascii="仿宋" w:eastAsia="仿宋" w:hAnsi="仿宋" w:cs="Arial" w:hint="eastAsia"/>
                <w:kern w:val="0"/>
                <w:sz w:val="24"/>
              </w:rPr>
              <w:t xml:space="preserve"> 一组实际控制关系账户合并持仓超限，交易所除按照本办法第十七条处理外，还应当按照以下程序进行处理：</w:t>
            </w:r>
          </w:p>
          <w:p w:rsidR="001E225E" w:rsidRDefault="001E225E" w:rsidP="002B36B1">
            <w:pPr>
              <w:widowControl/>
              <w:adjustRightInd w:val="0"/>
              <w:snapToGrid w:val="0"/>
              <w:ind w:firstLineChars="200" w:firstLine="480"/>
              <w:rPr>
                <w:rFonts w:ascii="仿宋" w:eastAsia="仿宋" w:hAnsi="仿宋" w:cs="Arial"/>
                <w:kern w:val="0"/>
                <w:sz w:val="24"/>
              </w:rPr>
            </w:pPr>
            <w:r>
              <w:rPr>
                <w:rFonts w:ascii="仿宋" w:eastAsia="仿宋" w:hAnsi="仿宋" w:cs="Arial" w:hint="eastAsia"/>
                <w:kern w:val="0"/>
                <w:sz w:val="24"/>
              </w:rPr>
              <w:t>（一）第一次达到处理标准的，交易所将该组实际控制关系账户列入重点监管名单；</w:t>
            </w:r>
          </w:p>
          <w:p w:rsidR="001E225E" w:rsidRDefault="001E225E" w:rsidP="002B36B1">
            <w:pPr>
              <w:widowControl/>
              <w:adjustRightInd w:val="0"/>
              <w:snapToGrid w:val="0"/>
              <w:ind w:firstLineChars="200" w:firstLine="480"/>
              <w:rPr>
                <w:rFonts w:ascii="仿宋" w:eastAsia="仿宋" w:hAnsi="仿宋" w:cs="Arial"/>
                <w:kern w:val="0"/>
                <w:sz w:val="24"/>
              </w:rPr>
            </w:pPr>
            <w:r>
              <w:rPr>
                <w:rFonts w:ascii="仿宋" w:eastAsia="仿宋" w:hAnsi="仿宋" w:cs="Arial" w:hint="eastAsia"/>
                <w:kern w:val="0"/>
                <w:sz w:val="24"/>
              </w:rPr>
              <w:t>（二）第二次达到处理标准的，交易所于下一交易日对该组实际控制关系账户采取限制开仓的自律监管措施，限制开仓时间不少于10个交易日；</w:t>
            </w:r>
          </w:p>
          <w:p w:rsidR="001E225E" w:rsidRDefault="001E225E" w:rsidP="002B36B1">
            <w:pPr>
              <w:widowControl/>
              <w:adjustRightInd w:val="0"/>
              <w:snapToGrid w:val="0"/>
              <w:ind w:firstLineChars="200" w:firstLine="480"/>
              <w:rPr>
                <w:rFonts w:ascii="仿宋" w:eastAsia="仿宋" w:hAnsi="仿宋" w:cs="Arial"/>
                <w:kern w:val="0"/>
                <w:sz w:val="24"/>
                <w:szCs w:val="22"/>
              </w:rPr>
            </w:pPr>
            <w:r>
              <w:rPr>
                <w:rFonts w:ascii="仿宋" w:eastAsia="仿宋" w:hAnsi="仿宋" w:cs="Arial" w:hint="eastAsia"/>
                <w:kern w:val="0"/>
                <w:sz w:val="24"/>
              </w:rPr>
              <w:t>（三）第三次达到处理标准的，交易所于下一交易日对该组实际控制关系账户采取限制开仓的自律监管措施，限制开仓时间不少于6个月。</w:t>
            </w:r>
          </w:p>
        </w:tc>
        <w:tc>
          <w:tcPr>
            <w:tcW w:w="4465" w:type="dxa"/>
            <w:tcBorders>
              <w:top w:val="nil"/>
              <w:left w:val="nil"/>
              <w:bottom w:val="single" w:sz="4" w:space="0" w:color="auto"/>
              <w:right w:val="single" w:sz="4" w:space="0" w:color="auto"/>
            </w:tcBorders>
            <w:noWrap/>
            <w:vAlign w:val="center"/>
            <w:hideMark/>
          </w:tcPr>
          <w:p w:rsidR="001E225E" w:rsidRDefault="001E225E" w:rsidP="002B36B1">
            <w:pPr>
              <w:adjustRightInd w:val="0"/>
              <w:snapToGrid w:val="0"/>
              <w:ind w:firstLineChars="245" w:firstLine="590"/>
              <w:rPr>
                <w:rFonts w:ascii="仿宋" w:eastAsia="仿宋" w:hAnsi="仿宋"/>
                <w:dstrike/>
                <w:sz w:val="24"/>
              </w:rPr>
            </w:pPr>
            <w:r>
              <w:rPr>
                <w:rFonts w:ascii="仿宋" w:eastAsia="仿宋" w:hAnsi="仿宋" w:hint="eastAsia"/>
                <w:b/>
                <w:dstrike/>
                <w:sz w:val="24"/>
              </w:rPr>
              <w:t>第十八条</w:t>
            </w:r>
            <w:r>
              <w:rPr>
                <w:rFonts w:ascii="仿宋" w:eastAsia="仿宋" w:hAnsi="仿宋" w:hint="eastAsia"/>
                <w:dstrike/>
                <w:sz w:val="24"/>
              </w:rPr>
              <w:t xml:space="preserve"> 一组实际控制关系账户合并持仓超限，交易所除按照本办法第十七条处理外，还应当按照以下程序进行处理：</w:t>
            </w:r>
          </w:p>
          <w:p w:rsidR="001E225E" w:rsidRDefault="001E225E" w:rsidP="002B36B1">
            <w:pPr>
              <w:adjustRightInd w:val="0"/>
              <w:snapToGrid w:val="0"/>
              <w:ind w:firstLineChars="250" w:firstLine="600"/>
              <w:rPr>
                <w:rFonts w:ascii="仿宋" w:eastAsia="仿宋" w:hAnsi="仿宋"/>
                <w:dstrike/>
                <w:sz w:val="24"/>
              </w:rPr>
            </w:pPr>
            <w:r>
              <w:rPr>
                <w:rFonts w:ascii="仿宋" w:eastAsia="仿宋" w:hAnsi="仿宋" w:hint="eastAsia"/>
                <w:dstrike/>
                <w:sz w:val="24"/>
              </w:rPr>
              <w:t>（一）第一次达到处理标准的，交易所将该组实际控制关系账户列入重点监管名单；</w:t>
            </w:r>
          </w:p>
          <w:p w:rsidR="001E225E" w:rsidRDefault="001E225E" w:rsidP="002B36B1">
            <w:pPr>
              <w:adjustRightInd w:val="0"/>
              <w:snapToGrid w:val="0"/>
              <w:ind w:firstLineChars="250" w:firstLine="600"/>
              <w:rPr>
                <w:rFonts w:ascii="仿宋" w:eastAsia="仿宋" w:hAnsi="仿宋"/>
                <w:dstrike/>
                <w:sz w:val="24"/>
              </w:rPr>
            </w:pPr>
            <w:r>
              <w:rPr>
                <w:rFonts w:ascii="仿宋" w:eastAsia="仿宋" w:hAnsi="仿宋" w:hint="eastAsia"/>
                <w:dstrike/>
                <w:sz w:val="24"/>
              </w:rPr>
              <w:t>（二）第二次达到处理标准的，交易所于下一交易日对该组实际控制关系账户采取限制开仓的自律监管措施，限制开仓时间不少于10个交易日；</w:t>
            </w:r>
          </w:p>
          <w:p w:rsidR="001E225E" w:rsidRDefault="001E225E" w:rsidP="002B36B1">
            <w:pPr>
              <w:adjustRightInd w:val="0"/>
              <w:snapToGrid w:val="0"/>
              <w:ind w:firstLineChars="250" w:firstLine="600"/>
              <w:rPr>
                <w:rFonts w:ascii="仿宋" w:eastAsia="仿宋" w:hAnsi="仿宋"/>
                <w:strike/>
                <w:sz w:val="24"/>
                <w:szCs w:val="22"/>
              </w:rPr>
            </w:pPr>
            <w:r>
              <w:rPr>
                <w:rFonts w:ascii="仿宋" w:eastAsia="仿宋" w:hAnsi="仿宋" w:hint="eastAsia"/>
                <w:dstrike/>
                <w:sz w:val="24"/>
              </w:rPr>
              <w:t>（三）第三次达到处理标准的，交易所于下一交易日对该组实际控制关系账户采取限制开仓的自律监管措施，限制开仓时间不少于6个月。</w:t>
            </w:r>
          </w:p>
        </w:tc>
      </w:tr>
      <w:tr w:rsidR="001E225E" w:rsidTr="002B36B1">
        <w:trPr>
          <w:trHeight w:val="255"/>
          <w:jc w:val="center"/>
        </w:trPr>
        <w:tc>
          <w:tcPr>
            <w:tcW w:w="4465" w:type="dxa"/>
            <w:tcBorders>
              <w:top w:val="single" w:sz="4" w:space="0" w:color="auto"/>
              <w:left w:val="single" w:sz="4" w:space="0" w:color="auto"/>
              <w:bottom w:val="single" w:sz="4" w:space="0" w:color="auto"/>
              <w:right w:val="single" w:sz="4" w:space="0" w:color="auto"/>
            </w:tcBorders>
            <w:noWrap/>
            <w:vAlign w:val="center"/>
            <w:hideMark/>
          </w:tcPr>
          <w:p w:rsidR="001E225E" w:rsidRDefault="001E225E" w:rsidP="002B36B1">
            <w:pPr>
              <w:widowControl/>
              <w:adjustRightInd w:val="0"/>
              <w:snapToGrid w:val="0"/>
              <w:ind w:firstLineChars="200" w:firstLine="482"/>
              <w:rPr>
                <w:rFonts w:ascii="仿宋" w:eastAsia="仿宋" w:hAnsi="仿宋" w:cs="Arial"/>
                <w:kern w:val="0"/>
                <w:sz w:val="24"/>
              </w:rPr>
            </w:pPr>
            <w:r>
              <w:rPr>
                <w:rFonts w:ascii="仿宋" w:eastAsia="仿宋" w:hAnsi="仿宋" w:cs="Arial" w:hint="eastAsia"/>
                <w:b/>
                <w:kern w:val="0"/>
                <w:sz w:val="24"/>
              </w:rPr>
              <w:t>第十九条</w:t>
            </w:r>
            <w:r>
              <w:rPr>
                <w:rFonts w:ascii="仿宋" w:eastAsia="仿宋" w:hAnsi="仿宋" w:cs="Arial" w:hint="eastAsia"/>
                <w:kern w:val="0"/>
                <w:sz w:val="24"/>
              </w:rPr>
              <w:t xml:space="preserve"> 一组实际控制关系账户当日结算时在某合约发生合并持仓超限行为，但其在该合约的持仓未超过上一交易日结算时交易所持仓限额，可以豁免本办法第十八条的自律监管措施。</w:t>
            </w:r>
          </w:p>
          <w:p w:rsidR="001E225E" w:rsidRDefault="001E225E" w:rsidP="002B36B1">
            <w:pPr>
              <w:widowControl/>
              <w:adjustRightInd w:val="0"/>
              <w:snapToGrid w:val="0"/>
              <w:ind w:firstLineChars="200" w:firstLine="480"/>
              <w:rPr>
                <w:rFonts w:ascii="仿宋" w:eastAsia="仿宋" w:hAnsi="仿宋" w:cs="Arial"/>
                <w:kern w:val="0"/>
                <w:sz w:val="24"/>
              </w:rPr>
            </w:pPr>
            <w:r>
              <w:rPr>
                <w:rFonts w:ascii="仿宋" w:eastAsia="仿宋" w:hAnsi="仿宋" w:cs="Arial" w:hint="eastAsia"/>
                <w:kern w:val="0"/>
                <w:sz w:val="24"/>
              </w:rPr>
              <w:t>一组实际控制关系账户当日结算时在某合约发生合并持仓超限行为，因为市场原因在下一交易</w:t>
            </w:r>
            <w:proofErr w:type="gramStart"/>
            <w:r>
              <w:rPr>
                <w:rFonts w:ascii="仿宋" w:eastAsia="仿宋" w:hAnsi="仿宋" w:cs="Arial" w:hint="eastAsia"/>
                <w:kern w:val="0"/>
                <w:sz w:val="24"/>
              </w:rPr>
              <w:t>日无法</w:t>
            </w:r>
            <w:proofErr w:type="gramEnd"/>
            <w:r>
              <w:rPr>
                <w:rFonts w:ascii="仿宋" w:eastAsia="仿宋" w:hAnsi="仿宋" w:cs="Arial" w:hint="eastAsia"/>
                <w:kern w:val="0"/>
                <w:sz w:val="24"/>
              </w:rPr>
              <w:t>平仓且结算时继续持仓超限的，下一交易日可以豁免本办法第十八条的自律监管措施。</w:t>
            </w:r>
          </w:p>
          <w:p w:rsidR="001E225E" w:rsidRDefault="001E225E" w:rsidP="002B36B1">
            <w:pPr>
              <w:widowControl/>
              <w:adjustRightInd w:val="0"/>
              <w:snapToGrid w:val="0"/>
              <w:ind w:firstLineChars="200" w:firstLine="480"/>
              <w:rPr>
                <w:rFonts w:ascii="仿宋" w:eastAsia="仿宋" w:hAnsi="仿宋" w:cs="Arial"/>
                <w:kern w:val="0"/>
                <w:sz w:val="24"/>
                <w:szCs w:val="22"/>
              </w:rPr>
            </w:pPr>
            <w:r>
              <w:rPr>
                <w:rFonts w:ascii="仿宋" w:eastAsia="仿宋" w:hAnsi="仿宋" w:cs="Arial" w:hint="eastAsia"/>
                <w:kern w:val="0"/>
                <w:sz w:val="24"/>
              </w:rPr>
              <w:t>前两款豁免本办法第十八条自律监管措施的合并持仓超限行为，其超过持仓限额的部分仍应当按照本办法第十七条有关规定执行。</w:t>
            </w:r>
          </w:p>
        </w:tc>
        <w:tc>
          <w:tcPr>
            <w:tcW w:w="4465" w:type="dxa"/>
            <w:tcBorders>
              <w:top w:val="nil"/>
              <w:left w:val="nil"/>
              <w:bottom w:val="single" w:sz="4" w:space="0" w:color="auto"/>
              <w:right w:val="single" w:sz="4" w:space="0" w:color="auto"/>
            </w:tcBorders>
            <w:noWrap/>
            <w:vAlign w:val="center"/>
            <w:hideMark/>
          </w:tcPr>
          <w:p w:rsidR="001E225E" w:rsidRDefault="001E225E" w:rsidP="002B36B1">
            <w:pPr>
              <w:adjustRightInd w:val="0"/>
              <w:snapToGrid w:val="0"/>
              <w:ind w:firstLineChars="250" w:firstLine="602"/>
              <w:rPr>
                <w:rFonts w:ascii="仿宋" w:eastAsia="仿宋" w:hAnsi="仿宋"/>
                <w:dstrike/>
                <w:sz w:val="24"/>
              </w:rPr>
            </w:pPr>
            <w:r>
              <w:rPr>
                <w:rFonts w:ascii="仿宋" w:eastAsia="仿宋" w:hAnsi="仿宋" w:hint="eastAsia"/>
                <w:b/>
                <w:dstrike/>
                <w:sz w:val="24"/>
              </w:rPr>
              <w:t>第十九条</w:t>
            </w:r>
            <w:r>
              <w:rPr>
                <w:rFonts w:ascii="仿宋" w:eastAsia="仿宋" w:hAnsi="仿宋" w:hint="eastAsia"/>
                <w:dstrike/>
                <w:sz w:val="24"/>
              </w:rPr>
              <w:t xml:space="preserve"> 一组实际控制关系账户当日结算时在某合约发生合并持仓超限行为，但其在该合约的持仓未超过上一交易日结算时交易所持仓限额，可以豁免本办法第十八条的自律监管措施。</w:t>
            </w:r>
          </w:p>
          <w:p w:rsidR="001E225E" w:rsidRDefault="001E225E" w:rsidP="002B36B1">
            <w:pPr>
              <w:adjustRightInd w:val="0"/>
              <w:snapToGrid w:val="0"/>
              <w:ind w:firstLineChars="250" w:firstLine="600"/>
              <w:rPr>
                <w:rFonts w:ascii="仿宋" w:eastAsia="仿宋" w:hAnsi="仿宋"/>
                <w:dstrike/>
                <w:sz w:val="24"/>
              </w:rPr>
            </w:pPr>
            <w:r>
              <w:rPr>
                <w:rFonts w:ascii="仿宋" w:eastAsia="仿宋" w:hAnsi="仿宋" w:hint="eastAsia"/>
                <w:dstrike/>
                <w:sz w:val="24"/>
              </w:rPr>
              <w:t>一组实际控制关系账户当日结算时在某合约发生合并持仓超限行为，因为市场原因在下一交易</w:t>
            </w:r>
            <w:proofErr w:type="gramStart"/>
            <w:r>
              <w:rPr>
                <w:rFonts w:ascii="仿宋" w:eastAsia="仿宋" w:hAnsi="仿宋" w:hint="eastAsia"/>
                <w:dstrike/>
                <w:sz w:val="24"/>
              </w:rPr>
              <w:t>日无法</w:t>
            </w:r>
            <w:proofErr w:type="gramEnd"/>
            <w:r>
              <w:rPr>
                <w:rFonts w:ascii="仿宋" w:eastAsia="仿宋" w:hAnsi="仿宋" w:hint="eastAsia"/>
                <w:dstrike/>
                <w:sz w:val="24"/>
              </w:rPr>
              <w:t>平仓且结算时继续持仓超限的，下一交易日可以豁免本办法第十八条的自律监管措施。</w:t>
            </w:r>
          </w:p>
          <w:p w:rsidR="001E225E" w:rsidRDefault="001E225E" w:rsidP="002B36B1">
            <w:pPr>
              <w:adjustRightInd w:val="0"/>
              <w:snapToGrid w:val="0"/>
              <w:ind w:firstLineChars="250" w:firstLine="600"/>
              <w:rPr>
                <w:rFonts w:ascii="仿宋" w:eastAsia="仿宋" w:hAnsi="仿宋"/>
                <w:strike/>
                <w:sz w:val="24"/>
                <w:szCs w:val="22"/>
              </w:rPr>
            </w:pPr>
            <w:r>
              <w:rPr>
                <w:rFonts w:ascii="仿宋" w:eastAsia="仿宋" w:hAnsi="仿宋" w:hint="eastAsia"/>
                <w:dstrike/>
                <w:sz w:val="24"/>
              </w:rPr>
              <w:t>前两款豁免本办法第十八条自律监管措施的合并持仓超限行为，其超过持仓限额的部分仍应当按照本办法第十七条有关规定执行。</w:t>
            </w:r>
          </w:p>
        </w:tc>
      </w:tr>
    </w:tbl>
    <w:p w:rsidR="001E225E" w:rsidRPr="00503228" w:rsidRDefault="001E225E" w:rsidP="001E225E">
      <w:pPr>
        <w:rPr>
          <w:rFonts w:ascii="仿宋" w:eastAsia="仿宋" w:hAnsi="仿宋"/>
          <w:sz w:val="32"/>
        </w:rPr>
      </w:pPr>
    </w:p>
    <w:p w:rsidR="001E225E" w:rsidRPr="00380332" w:rsidRDefault="001E225E" w:rsidP="001E225E"/>
    <w:p w:rsidR="0002136A" w:rsidRPr="001E225E" w:rsidRDefault="0002136A"/>
    <w:sectPr w:rsidR="0002136A" w:rsidRPr="001E225E" w:rsidSect="000213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E225E"/>
    <w:rsid w:val="0002136A"/>
    <w:rsid w:val="001E22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25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1109</Words>
  <Characters>1220</Characters>
  <Application>Microsoft Office Word</Application>
  <DocSecurity>0</DocSecurity>
  <Lines>101</Lines>
  <Paragraphs>89</Paragraphs>
  <ScaleCrop>false</ScaleCrop>
  <Company>Lenovo</Company>
  <LinksUpToDate>false</LinksUpToDate>
  <CharactersWithSpaces>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zqli</dc:creator>
  <cp:lastModifiedBy>zqli</cp:lastModifiedBy>
  <cp:revision>1</cp:revision>
  <dcterms:created xsi:type="dcterms:W3CDTF">2021-11-22T10:47:00Z</dcterms:created>
  <dcterms:modified xsi:type="dcterms:W3CDTF">2021-11-22T10:48:00Z</dcterms:modified>
</cp:coreProperties>
</file>