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455" w:rsidRPr="00471A3F" w:rsidRDefault="00060455" w:rsidP="00060455">
      <w:pPr>
        <w:widowControl/>
        <w:spacing w:line="360" w:lineRule="auto"/>
        <w:jc w:val="left"/>
        <w:outlineLvl w:val="3"/>
        <w:rPr>
          <w:rFonts w:ascii="黑体" w:eastAsia="黑体" w:hAnsi="黑体"/>
          <w:sz w:val="32"/>
          <w:szCs w:val="32"/>
        </w:rPr>
      </w:pPr>
      <w:r w:rsidRPr="00471A3F">
        <w:rPr>
          <w:rFonts w:ascii="黑体" w:eastAsia="黑体" w:hAnsi="黑体" w:hint="eastAsia"/>
          <w:sz w:val="32"/>
          <w:szCs w:val="32"/>
        </w:rPr>
        <w:t>附件8</w:t>
      </w:r>
    </w:p>
    <w:p w:rsidR="00060455" w:rsidRPr="002A79B1" w:rsidRDefault="00060455" w:rsidP="00060455">
      <w:pPr>
        <w:widowControl/>
        <w:spacing w:line="360" w:lineRule="auto"/>
        <w:jc w:val="center"/>
        <w:outlineLvl w:val="3"/>
        <w:rPr>
          <w:rFonts w:ascii="宋体" w:hAnsi="宋体"/>
          <w:b/>
          <w:sz w:val="44"/>
          <w:szCs w:val="36"/>
        </w:rPr>
      </w:pPr>
      <w:r w:rsidRPr="002A79B1">
        <w:rPr>
          <w:rFonts w:ascii="宋体" w:hAnsi="宋体" w:hint="eastAsia"/>
          <w:b/>
          <w:sz w:val="44"/>
          <w:szCs w:val="36"/>
        </w:rPr>
        <w:t>郑州商品交易所期货交易风险控制管理办法</w:t>
      </w:r>
      <w:bookmarkStart w:id="0" w:name="_GoBack"/>
      <w:bookmarkEnd w:id="0"/>
    </w:p>
    <w:p w:rsidR="00060455" w:rsidRPr="002A79B1" w:rsidRDefault="00060455" w:rsidP="00060455">
      <w:pPr>
        <w:spacing w:before="240" w:after="240"/>
        <w:rPr>
          <w:rFonts w:ascii="宋体" w:hAnsi="宋体"/>
          <w:sz w:val="24"/>
          <w:szCs w:val="23"/>
        </w:rPr>
      </w:pPr>
      <w:r w:rsidRPr="002D4476">
        <w:rPr>
          <w:rFonts w:ascii="宋体" w:hAnsi="宋体" w:hint="eastAsia"/>
          <w:sz w:val="24"/>
        </w:rPr>
        <w:t>（</w:t>
      </w:r>
      <w:r>
        <w:rPr>
          <w:rFonts w:ascii="宋体" w:hAnsi="宋体" w:hint="eastAsia"/>
          <w:sz w:val="24"/>
        </w:rPr>
        <w:t>2020</w:t>
      </w:r>
      <w:r w:rsidRPr="007D0094">
        <w:rPr>
          <w:rFonts w:ascii="宋体" w:hAnsi="宋体" w:hint="eastAsia"/>
          <w:sz w:val="24"/>
        </w:rPr>
        <w:t>年</w:t>
      </w:r>
      <w:r>
        <w:rPr>
          <w:rFonts w:ascii="宋体" w:hAnsi="宋体" w:hint="eastAsia"/>
          <w:sz w:val="24"/>
        </w:rPr>
        <w:t xml:space="preserve"> 6</w:t>
      </w:r>
      <w:r w:rsidRPr="007D0094">
        <w:rPr>
          <w:rFonts w:ascii="宋体" w:hAnsi="宋体" w:hint="eastAsia"/>
          <w:sz w:val="24"/>
        </w:rPr>
        <w:t>月</w:t>
      </w:r>
      <w:r>
        <w:rPr>
          <w:rFonts w:ascii="宋体" w:hAnsi="宋体" w:hint="eastAsia"/>
          <w:sz w:val="24"/>
        </w:rPr>
        <w:t>30日郑州商品交易所第七届理事会第三</w:t>
      </w:r>
      <w:r w:rsidRPr="007D0094">
        <w:rPr>
          <w:rFonts w:ascii="宋体" w:hAnsi="宋体" w:hint="eastAsia"/>
          <w:sz w:val="24"/>
        </w:rPr>
        <w:t>次会议审议通过</w:t>
      </w:r>
      <w:r>
        <w:rPr>
          <w:rFonts w:ascii="宋体" w:hAnsi="宋体" w:hint="eastAsia"/>
          <w:sz w:val="24"/>
        </w:rPr>
        <w:t>，2020年7</w:t>
      </w:r>
      <w:r w:rsidRPr="00514DAF">
        <w:rPr>
          <w:rFonts w:ascii="宋体" w:hAnsi="宋体" w:hint="eastAsia"/>
          <w:sz w:val="24"/>
        </w:rPr>
        <w:t>月14日</w:t>
      </w:r>
      <w:r w:rsidRPr="008F6193">
        <w:rPr>
          <w:rFonts w:ascii="宋体" w:hAnsi="宋体" w:hint="eastAsia"/>
          <w:sz w:val="24"/>
          <w:szCs w:val="23"/>
        </w:rPr>
        <w:t>发布，</w:t>
      </w:r>
      <w:r>
        <w:rPr>
          <w:rFonts w:ascii="宋体" w:hAnsi="宋体" w:hint="eastAsia"/>
          <w:sz w:val="24"/>
        </w:rPr>
        <w:t>修订部分自</w:t>
      </w:r>
      <w:r w:rsidRPr="00471A3F">
        <w:rPr>
          <w:rFonts w:ascii="宋体" w:hAnsi="宋体" w:hint="eastAsia"/>
          <w:sz w:val="24"/>
        </w:rPr>
        <w:t>苹果期货2007合约摘牌后施行</w:t>
      </w:r>
      <w:r w:rsidRPr="007D0094">
        <w:rPr>
          <w:rFonts w:ascii="宋体" w:hAnsi="宋体" w:hint="eastAsia"/>
          <w:sz w:val="24"/>
        </w:rPr>
        <w:t>）</w:t>
      </w:r>
    </w:p>
    <w:p w:rsidR="00060455" w:rsidRPr="002A79B1" w:rsidRDefault="00060455" w:rsidP="00060455">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第一章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总则</w:t>
      </w:r>
    </w:p>
    <w:p w:rsidR="00060455" w:rsidRPr="002A79B1" w:rsidRDefault="00060455" w:rsidP="00060455">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为加强期货交易风险管理，维护期货交易当事人的合法权益，保证郑州商品交易所（以下简称交易所）期货交易的正常进行，根据《郑州商品交易所交易规则》，制定本办法。</w:t>
      </w:r>
    </w:p>
    <w:p w:rsidR="00060455" w:rsidRPr="002A79B1" w:rsidRDefault="00060455" w:rsidP="00060455">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期货交易风险管理实行保证金制度、涨跌停板制度、限仓制度、交易限额制度、大户报告制度、强行平仓制度、风险警示制度。</w:t>
      </w:r>
    </w:p>
    <w:p w:rsidR="00060455" w:rsidRPr="002A79B1" w:rsidRDefault="00060455" w:rsidP="00060455">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会员、境外经纪机构和客户应当遵守本办法。境外经纪机构应当辅助其委托交易结算的期货公司会员做好境外客户的强行平仓、大户报告、风险提示等工作。期货公司会员应当将涉及境外经纪机构客户的《强行平仓通知书》、强行平仓结果、风险提示函等及时通知境外经纪机构。</w:t>
      </w:r>
    </w:p>
    <w:p w:rsidR="00060455" w:rsidRPr="002A79B1" w:rsidRDefault="00060455" w:rsidP="00060455">
      <w:pPr>
        <w:widowControl/>
        <w:spacing w:line="360" w:lineRule="auto"/>
        <w:jc w:val="center"/>
        <w:outlineLvl w:val="1"/>
        <w:rPr>
          <w:rFonts w:ascii="宋体" w:eastAsia="黑体" w:hAnsi="宋体" w:cs="宋体"/>
          <w:kern w:val="0"/>
          <w:sz w:val="32"/>
          <w:szCs w:val="28"/>
        </w:rPr>
      </w:pPr>
      <w:bookmarkStart w:id="1" w:name="_Toc392878608"/>
      <w:r w:rsidRPr="002A79B1">
        <w:rPr>
          <w:rFonts w:ascii="宋体" w:eastAsia="黑体" w:hAnsi="宋体" w:cs="宋体" w:hint="eastAsia"/>
          <w:kern w:val="0"/>
          <w:sz w:val="32"/>
          <w:szCs w:val="28"/>
        </w:rPr>
        <w:t>第二章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保证金制度</w:t>
      </w:r>
      <w:bookmarkEnd w:id="1"/>
    </w:p>
    <w:p w:rsidR="00060455" w:rsidRPr="002A79B1" w:rsidRDefault="00060455" w:rsidP="00060455">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期货交易实行保证金制度。</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各品种</w:t>
      </w:r>
      <w:r w:rsidRPr="002A79B1">
        <w:rPr>
          <w:rStyle w:val="a6"/>
          <w:rFonts w:ascii="宋体" w:hAnsi="宋体" w:cs="宋体"/>
          <w:kern w:val="0"/>
          <w:sz w:val="28"/>
          <w:szCs w:val="28"/>
        </w:rPr>
        <w:footnoteReference w:id="2"/>
      </w:r>
      <w:r w:rsidRPr="002A79B1">
        <w:rPr>
          <w:rFonts w:ascii="宋体" w:hAnsi="宋体" w:cs="宋体" w:hint="eastAsia"/>
          <w:kern w:val="0"/>
          <w:sz w:val="28"/>
          <w:szCs w:val="28"/>
        </w:rPr>
        <w:t>期货合约的最低交易保证金标准见下表：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7"/>
        <w:gridCol w:w="2885"/>
      </w:tblGrid>
      <w:tr w:rsidR="00060455" w:rsidRPr="002A79B1" w:rsidTr="001055B7">
        <w:trPr>
          <w:trHeight w:val="70"/>
        </w:trPr>
        <w:tc>
          <w:tcPr>
            <w:tcW w:w="5637" w:type="dxa"/>
            <w:tcBorders>
              <w:top w:val="single" w:sz="4" w:space="0" w:color="000000"/>
              <w:left w:val="single" w:sz="4" w:space="0" w:color="000000"/>
              <w:bottom w:val="single" w:sz="4" w:space="0" w:color="000000"/>
              <w:right w:val="single" w:sz="4" w:space="0" w:color="000000"/>
            </w:tcBorders>
            <w:vAlign w:val="center"/>
            <w:hideMark/>
          </w:tcPr>
          <w:p w:rsidR="00060455" w:rsidRPr="002A79B1" w:rsidRDefault="00060455" w:rsidP="001055B7">
            <w:pPr>
              <w:snapToGrid w:val="0"/>
              <w:spacing w:line="500" w:lineRule="exact"/>
              <w:jc w:val="center"/>
              <w:rPr>
                <w:rFonts w:ascii="宋体"/>
                <w:bCs/>
                <w:kern w:val="0"/>
                <w:sz w:val="24"/>
              </w:rPr>
            </w:pPr>
            <w:r w:rsidRPr="002A79B1">
              <w:rPr>
                <w:rFonts w:ascii="宋体" w:hAnsi="宋体" w:cs="宋体" w:hint="eastAsia"/>
                <w:bCs/>
                <w:kern w:val="0"/>
                <w:sz w:val="24"/>
              </w:rPr>
              <w:t>品种</w:t>
            </w:r>
          </w:p>
        </w:tc>
        <w:tc>
          <w:tcPr>
            <w:tcW w:w="2885" w:type="dxa"/>
            <w:tcBorders>
              <w:top w:val="single" w:sz="4" w:space="0" w:color="000000"/>
              <w:left w:val="single" w:sz="4" w:space="0" w:color="000000"/>
              <w:bottom w:val="single" w:sz="4" w:space="0" w:color="000000"/>
              <w:right w:val="single" w:sz="4" w:space="0" w:color="000000"/>
            </w:tcBorders>
            <w:vAlign w:val="center"/>
            <w:hideMark/>
          </w:tcPr>
          <w:p w:rsidR="00060455" w:rsidRPr="002A79B1" w:rsidRDefault="00060455" w:rsidP="001055B7">
            <w:pPr>
              <w:snapToGrid w:val="0"/>
              <w:spacing w:line="500" w:lineRule="exact"/>
              <w:jc w:val="center"/>
              <w:rPr>
                <w:rFonts w:ascii="宋体"/>
                <w:kern w:val="0"/>
                <w:sz w:val="28"/>
                <w:szCs w:val="28"/>
              </w:rPr>
            </w:pPr>
            <w:r w:rsidRPr="002A79B1">
              <w:rPr>
                <w:rFonts w:ascii="宋体" w:hAnsi="宋体" w:cs="宋体" w:hint="eastAsia"/>
                <w:bCs/>
                <w:kern w:val="0"/>
                <w:sz w:val="24"/>
              </w:rPr>
              <w:t>最低交易保证金标准</w:t>
            </w:r>
          </w:p>
        </w:tc>
      </w:tr>
      <w:tr w:rsidR="00060455" w:rsidRPr="002A79B1" w:rsidTr="001055B7">
        <w:tc>
          <w:tcPr>
            <w:tcW w:w="5637" w:type="dxa"/>
            <w:tcBorders>
              <w:top w:val="single" w:sz="4" w:space="0" w:color="000000"/>
              <w:left w:val="single" w:sz="4" w:space="0" w:color="000000"/>
              <w:bottom w:val="single" w:sz="4" w:space="0" w:color="000000"/>
              <w:right w:val="single" w:sz="4" w:space="0" w:color="000000"/>
            </w:tcBorders>
            <w:vAlign w:val="center"/>
            <w:hideMark/>
          </w:tcPr>
          <w:p w:rsidR="00060455" w:rsidRPr="002A79B1" w:rsidRDefault="00060455" w:rsidP="001055B7">
            <w:pPr>
              <w:snapToGrid w:val="0"/>
              <w:jc w:val="center"/>
              <w:rPr>
                <w:rFonts w:ascii="宋体"/>
                <w:kern w:val="0"/>
                <w:sz w:val="16"/>
                <w:szCs w:val="16"/>
              </w:rPr>
            </w:pPr>
            <w:r w:rsidRPr="002A79B1">
              <w:rPr>
                <w:rFonts w:ascii="宋体" w:hAnsi="宋体" w:cs="宋体" w:hint="eastAsia"/>
                <w:kern w:val="0"/>
                <w:sz w:val="24"/>
              </w:rPr>
              <w:t>普麦、强麦、一号棉、菜油、菜籽、菜粕、动力煤、早籼稻、晚籼稻</w:t>
            </w:r>
            <w:r w:rsidRPr="002A79B1">
              <w:rPr>
                <w:rFonts w:ascii="宋体" w:hAnsi="宋体" w:hint="eastAsia"/>
                <w:bCs/>
                <w:sz w:val="24"/>
              </w:rPr>
              <w:t>、粳稻、甲醇</w:t>
            </w:r>
            <w:r w:rsidRPr="002A79B1">
              <w:rPr>
                <w:rFonts w:ascii="宋体" w:hAnsi="宋体" w:hint="eastAsia"/>
                <w:sz w:val="24"/>
              </w:rPr>
              <w:t>、硅铁、锰硅、</w:t>
            </w:r>
            <w:r w:rsidRPr="002A79B1">
              <w:rPr>
                <w:rFonts w:ascii="宋体" w:hAnsi="宋体" w:cs="宋体" w:hint="eastAsia"/>
                <w:kern w:val="0"/>
                <w:sz w:val="24"/>
              </w:rPr>
              <w:t>白糖、PTA、玻璃、棉纱、尿素、纯碱</w:t>
            </w:r>
          </w:p>
        </w:tc>
        <w:tc>
          <w:tcPr>
            <w:tcW w:w="2885" w:type="dxa"/>
            <w:tcBorders>
              <w:top w:val="single" w:sz="4" w:space="0" w:color="000000"/>
              <w:left w:val="single" w:sz="4" w:space="0" w:color="000000"/>
              <w:bottom w:val="single" w:sz="4" w:space="0" w:color="000000"/>
              <w:right w:val="single" w:sz="4" w:space="0" w:color="000000"/>
            </w:tcBorders>
            <w:vAlign w:val="center"/>
            <w:hideMark/>
          </w:tcPr>
          <w:p w:rsidR="00060455" w:rsidRPr="002A79B1" w:rsidRDefault="00060455" w:rsidP="001055B7">
            <w:pPr>
              <w:snapToGrid w:val="0"/>
              <w:spacing w:line="500" w:lineRule="exact"/>
              <w:jc w:val="center"/>
              <w:rPr>
                <w:rFonts w:ascii="宋体"/>
                <w:kern w:val="0"/>
                <w:sz w:val="28"/>
                <w:szCs w:val="28"/>
              </w:rPr>
            </w:pPr>
            <w:r w:rsidRPr="002A79B1">
              <w:rPr>
                <w:rFonts w:ascii="宋体" w:hAnsi="宋体" w:cs="宋体" w:hint="eastAsia"/>
                <w:kern w:val="0"/>
                <w:sz w:val="24"/>
              </w:rPr>
              <w:t>5%</w:t>
            </w:r>
          </w:p>
        </w:tc>
      </w:tr>
      <w:tr w:rsidR="00060455" w:rsidRPr="002A79B1" w:rsidTr="001055B7">
        <w:trPr>
          <w:trHeight w:val="264"/>
        </w:trPr>
        <w:tc>
          <w:tcPr>
            <w:tcW w:w="5637" w:type="dxa"/>
            <w:tcBorders>
              <w:top w:val="single" w:sz="4" w:space="0" w:color="000000"/>
              <w:left w:val="single" w:sz="4" w:space="0" w:color="000000"/>
              <w:bottom w:val="single" w:sz="4" w:space="0" w:color="000000"/>
              <w:right w:val="single" w:sz="4" w:space="0" w:color="000000"/>
            </w:tcBorders>
            <w:vAlign w:val="center"/>
            <w:hideMark/>
          </w:tcPr>
          <w:p w:rsidR="00060455" w:rsidRPr="002A79B1" w:rsidRDefault="00060455" w:rsidP="001055B7">
            <w:pPr>
              <w:snapToGrid w:val="0"/>
              <w:jc w:val="center"/>
              <w:rPr>
                <w:rFonts w:ascii="宋体" w:hAnsi="宋体" w:cs="宋体"/>
                <w:kern w:val="0"/>
                <w:sz w:val="24"/>
              </w:rPr>
            </w:pPr>
            <w:r w:rsidRPr="002A79B1">
              <w:rPr>
                <w:rFonts w:ascii="宋体" w:hAnsi="宋体" w:cs="宋体" w:hint="eastAsia"/>
                <w:kern w:val="0"/>
                <w:sz w:val="24"/>
              </w:rPr>
              <w:lastRenderedPageBreak/>
              <w:t>苹果、红枣</w:t>
            </w:r>
          </w:p>
        </w:tc>
        <w:tc>
          <w:tcPr>
            <w:tcW w:w="2885" w:type="dxa"/>
            <w:tcBorders>
              <w:top w:val="single" w:sz="4" w:space="0" w:color="000000"/>
              <w:left w:val="single" w:sz="4" w:space="0" w:color="000000"/>
              <w:bottom w:val="single" w:sz="4" w:space="0" w:color="000000"/>
              <w:right w:val="single" w:sz="4" w:space="0" w:color="000000"/>
            </w:tcBorders>
            <w:vAlign w:val="center"/>
            <w:hideMark/>
          </w:tcPr>
          <w:p w:rsidR="00060455" w:rsidRPr="002A79B1" w:rsidRDefault="00060455" w:rsidP="001055B7">
            <w:pPr>
              <w:snapToGrid w:val="0"/>
              <w:jc w:val="center"/>
              <w:rPr>
                <w:rFonts w:ascii="宋体" w:hAnsi="宋体" w:cs="宋体"/>
                <w:kern w:val="0"/>
                <w:sz w:val="24"/>
              </w:rPr>
            </w:pPr>
            <w:r w:rsidRPr="002A79B1">
              <w:rPr>
                <w:rFonts w:ascii="宋体" w:hAnsi="宋体" w:cs="宋体" w:hint="eastAsia"/>
                <w:kern w:val="0"/>
                <w:sz w:val="24"/>
              </w:rPr>
              <w:t>7%</w:t>
            </w:r>
          </w:p>
        </w:tc>
      </w:tr>
    </w:tbl>
    <w:p w:rsidR="00060455" w:rsidRPr="002A79B1" w:rsidRDefault="00060455" w:rsidP="00060455">
      <w:pPr>
        <w:snapToGrid w:val="0"/>
        <w:spacing w:before="240"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期货合约的交易保证金标准按照该期货合约上市交易的时间分期间依次管理，除苹果、红枣外，各期间交易保证金标准见下表：</w:t>
      </w:r>
    </w:p>
    <w:tbl>
      <w:tblPr>
        <w:tblW w:w="8506" w:type="dxa"/>
        <w:tblInd w:w="-34" w:type="dxa"/>
        <w:tblLook w:val="04A0"/>
      </w:tblPr>
      <w:tblGrid>
        <w:gridCol w:w="5326"/>
        <w:gridCol w:w="3180"/>
      </w:tblGrid>
      <w:tr w:rsidR="00060455" w:rsidRPr="002A79B1" w:rsidTr="001055B7">
        <w:trPr>
          <w:trHeight w:val="312"/>
        </w:trPr>
        <w:tc>
          <w:tcPr>
            <w:tcW w:w="5326" w:type="dxa"/>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宋体"/>
                <w:kern w:val="0"/>
                <w:sz w:val="24"/>
              </w:rPr>
            </w:pPr>
            <w:r w:rsidRPr="002A79B1">
              <w:rPr>
                <w:rFonts w:ascii="宋体" w:hAnsi="宋体" w:cs="宋体" w:hint="eastAsia"/>
                <w:kern w:val="0"/>
                <w:sz w:val="24"/>
              </w:rPr>
              <w:t>交易时间段</w:t>
            </w:r>
          </w:p>
        </w:tc>
        <w:tc>
          <w:tcPr>
            <w:tcW w:w="3180" w:type="dxa"/>
            <w:tcBorders>
              <w:top w:val="single" w:sz="4" w:space="0" w:color="auto"/>
              <w:left w:val="nil"/>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宋体"/>
                <w:kern w:val="0"/>
                <w:sz w:val="24"/>
              </w:rPr>
            </w:pPr>
            <w:r w:rsidRPr="002A79B1">
              <w:rPr>
                <w:rFonts w:ascii="宋体" w:hAnsi="宋体" w:cs="宋体" w:hint="eastAsia"/>
                <w:kern w:val="0"/>
                <w:sz w:val="24"/>
              </w:rPr>
              <w:t>交易保证金标准</w:t>
            </w:r>
          </w:p>
        </w:tc>
      </w:tr>
      <w:tr w:rsidR="00060455" w:rsidRPr="002A79B1" w:rsidTr="001055B7">
        <w:trPr>
          <w:trHeight w:val="624"/>
        </w:trPr>
        <w:tc>
          <w:tcPr>
            <w:tcW w:w="5326" w:type="dxa"/>
            <w:tcBorders>
              <w:top w:val="nil"/>
              <w:left w:val="single" w:sz="4" w:space="0" w:color="auto"/>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宋体"/>
                <w:kern w:val="0"/>
                <w:sz w:val="24"/>
              </w:rPr>
            </w:pPr>
            <w:r w:rsidRPr="002A79B1">
              <w:rPr>
                <w:rFonts w:ascii="宋体" w:hAnsi="宋体" w:cs="宋体" w:hint="eastAsia"/>
                <w:kern w:val="0"/>
                <w:sz w:val="24"/>
              </w:rPr>
              <w:t>自挂牌至交割月前一个月第15个日历日期间的交易日</w:t>
            </w:r>
          </w:p>
        </w:tc>
        <w:tc>
          <w:tcPr>
            <w:tcW w:w="3180" w:type="dxa"/>
            <w:tcBorders>
              <w:top w:val="nil"/>
              <w:left w:val="nil"/>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宋体"/>
                <w:kern w:val="0"/>
                <w:sz w:val="24"/>
              </w:rPr>
            </w:pPr>
            <w:r w:rsidRPr="002A79B1">
              <w:rPr>
                <w:rFonts w:ascii="宋体" w:hAnsi="宋体" w:cs="宋体" w:hint="eastAsia"/>
                <w:kern w:val="0"/>
                <w:sz w:val="24"/>
              </w:rPr>
              <w:t>5%</w:t>
            </w:r>
          </w:p>
        </w:tc>
      </w:tr>
      <w:tr w:rsidR="00060455" w:rsidRPr="002A79B1" w:rsidTr="001055B7">
        <w:trPr>
          <w:trHeight w:val="624"/>
        </w:trPr>
        <w:tc>
          <w:tcPr>
            <w:tcW w:w="5326" w:type="dxa"/>
            <w:tcBorders>
              <w:top w:val="nil"/>
              <w:left w:val="single" w:sz="4" w:space="0" w:color="auto"/>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宋体"/>
                <w:kern w:val="0"/>
                <w:sz w:val="24"/>
              </w:rPr>
            </w:pPr>
            <w:r w:rsidRPr="002A79B1">
              <w:rPr>
                <w:rFonts w:ascii="宋体" w:hAnsi="宋体" w:cs="宋体" w:hint="eastAsia"/>
                <w:kern w:val="0"/>
                <w:sz w:val="24"/>
              </w:rPr>
              <w:t>交割月前一个月第16个日历日至交割月前一个月最后一个日历日期间的交易日</w:t>
            </w:r>
          </w:p>
        </w:tc>
        <w:tc>
          <w:tcPr>
            <w:tcW w:w="3180" w:type="dxa"/>
            <w:tcBorders>
              <w:top w:val="nil"/>
              <w:left w:val="nil"/>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宋体"/>
                <w:kern w:val="0"/>
                <w:sz w:val="24"/>
              </w:rPr>
            </w:pPr>
            <w:r w:rsidRPr="002A79B1">
              <w:rPr>
                <w:rFonts w:ascii="宋体" w:hAnsi="宋体" w:cs="宋体" w:hint="eastAsia"/>
                <w:kern w:val="0"/>
                <w:sz w:val="24"/>
              </w:rPr>
              <w:t>10%</w:t>
            </w:r>
          </w:p>
        </w:tc>
      </w:tr>
      <w:tr w:rsidR="00060455" w:rsidRPr="002A79B1" w:rsidTr="001055B7">
        <w:trPr>
          <w:trHeight w:val="312"/>
        </w:trPr>
        <w:tc>
          <w:tcPr>
            <w:tcW w:w="5326" w:type="dxa"/>
            <w:tcBorders>
              <w:top w:val="nil"/>
              <w:left w:val="single" w:sz="4" w:space="0" w:color="auto"/>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宋体"/>
                <w:kern w:val="0"/>
                <w:sz w:val="24"/>
              </w:rPr>
            </w:pPr>
            <w:r w:rsidRPr="002A79B1">
              <w:rPr>
                <w:rFonts w:ascii="宋体" w:hAnsi="宋体" w:cs="宋体" w:hint="eastAsia"/>
                <w:kern w:val="0"/>
                <w:sz w:val="24"/>
              </w:rPr>
              <w:t>交割月份</w:t>
            </w:r>
          </w:p>
        </w:tc>
        <w:tc>
          <w:tcPr>
            <w:tcW w:w="3180" w:type="dxa"/>
            <w:tcBorders>
              <w:top w:val="nil"/>
              <w:left w:val="nil"/>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宋体"/>
                <w:kern w:val="0"/>
                <w:sz w:val="24"/>
              </w:rPr>
            </w:pPr>
            <w:r w:rsidRPr="002A79B1">
              <w:rPr>
                <w:rFonts w:ascii="宋体" w:hAnsi="宋体" w:cs="宋体" w:hint="eastAsia"/>
                <w:kern w:val="0"/>
                <w:sz w:val="24"/>
              </w:rPr>
              <w:t>20%</w:t>
            </w:r>
          </w:p>
        </w:tc>
      </w:tr>
    </w:tbl>
    <w:p w:rsidR="00060455" w:rsidRPr="002A79B1" w:rsidRDefault="00060455" w:rsidP="00060455">
      <w:pPr>
        <w:snapToGrid w:val="0"/>
        <w:spacing w:before="240" w:line="360" w:lineRule="auto"/>
        <w:ind w:firstLineChars="200" w:firstLine="560"/>
        <w:rPr>
          <w:rFonts w:ascii="宋体" w:hAnsi="宋体" w:cs="宋体"/>
          <w:kern w:val="0"/>
          <w:sz w:val="28"/>
          <w:szCs w:val="28"/>
        </w:rPr>
      </w:pPr>
      <w:r w:rsidRPr="002A79B1">
        <w:rPr>
          <w:rFonts w:ascii="宋体" w:hAnsi="宋体" w:cs="宋体" w:hint="eastAsia"/>
          <w:kern w:val="0"/>
          <w:sz w:val="28"/>
          <w:szCs w:val="28"/>
        </w:rPr>
        <w:t>苹果期货合约各期间交易保证金标准见下表：</w:t>
      </w:r>
    </w:p>
    <w:tbl>
      <w:tblPr>
        <w:tblW w:w="8506" w:type="dxa"/>
        <w:tblInd w:w="-34" w:type="dxa"/>
        <w:tblLook w:val="04A0"/>
      </w:tblPr>
      <w:tblGrid>
        <w:gridCol w:w="5326"/>
        <w:gridCol w:w="3180"/>
      </w:tblGrid>
      <w:tr w:rsidR="00060455" w:rsidRPr="002A79B1" w:rsidTr="001055B7">
        <w:trPr>
          <w:trHeight w:val="312"/>
        </w:trPr>
        <w:tc>
          <w:tcPr>
            <w:tcW w:w="5326" w:type="dxa"/>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宋体"/>
                <w:kern w:val="0"/>
                <w:sz w:val="24"/>
              </w:rPr>
            </w:pPr>
            <w:r w:rsidRPr="002A79B1">
              <w:rPr>
                <w:rFonts w:ascii="宋体" w:hAnsi="宋体" w:cs="宋体" w:hint="eastAsia"/>
                <w:kern w:val="0"/>
                <w:sz w:val="24"/>
              </w:rPr>
              <w:t>交易时间段</w:t>
            </w:r>
          </w:p>
        </w:tc>
        <w:tc>
          <w:tcPr>
            <w:tcW w:w="3180" w:type="dxa"/>
            <w:tcBorders>
              <w:top w:val="single" w:sz="4" w:space="0" w:color="auto"/>
              <w:left w:val="nil"/>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宋体"/>
                <w:kern w:val="0"/>
                <w:sz w:val="24"/>
              </w:rPr>
            </w:pPr>
            <w:r w:rsidRPr="002A79B1">
              <w:rPr>
                <w:rFonts w:ascii="宋体" w:hAnsi="宋体" w:cs="宋体" w:hint="eastAsia"/>
                <w:kern w:val="0"/>
                <w:sz w:val="24"/>
              </w:rPr>
              <w:t>交易保证金标准</w:t>
            </w:r>
          </w:p>
        </w:tc>
      </w:tr>
      <w:tr w:rsidR="00060455" w:rsidRPr="002A79B1" w:rsidTr="001055B7">
        <w:trPr>
          <w:trHeight w:val="624"/>
        </w:trPr>
        <w:tc>
          <w:tcPr>
            <w:tcW w:w="5326" w:type="dxa"/>
            <w:tcBorders>
              <w:top w:val="nil"/>
              <w:left w:val="single" w:sz="4" w:space="0" w:color="auto"/>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宋体"/>
                <w:kern w:val="0"/>
                <w:sz w:val="24"/>
              </w:rPr>
            </w:pPr>
            <w:r w:rsidRPr="002A79B1">
              <w:rPr>
                <w:rFonts w:ascii="宋体" w:hAnsi="宋体" w:cs="宋体" w:hint="eastAsia"/>
                <w:kern w:val="0"/>
                <w:sz w:val="24"/>
              </w:rPr>
              <w:t>自挂牌至交割月前一个月第15个日历日期间的交易日</w:t>
            </w:r>
          </w:p>
        </w:tc>
        <w:tc>
          <w:tcPr>
            <w:tcW w:w="3180" w:type="dxa"/>
            <w:tcBorders>
              <w:top w:val="nil"/>
              <w:left w:val="nil"/>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宋体"/>
                <w:kern w:val="0"/>
                <w:sz w:val="24"/>
              </w:rPr>
            </w:pPr>
            <w:r w:rsidRPr="002A79B1">
              <w:rPr>
                <w:rFonts w:ascii="宋体" w:hAnsi="宋体" w:cs="宋体" w:hint="eastAsia"/>
                <w:kern w:val="0"/>
                <w:sz w:val="24"/>
              </w:rPr>
              <w:t>7%</w:t>
            </w:r>
          </w:p>
        </w:tc>
      </w:tr>
      <w:tr w:rsidR="00060455" w:rsidRPr="002A79B1" w:rsidTr="001055B7">
        <w:trPr>
          <w:trHeight w:val="624"/>
        </w:trPr>
        <w:tc>
          <w:tcPr>
            <w:tcW w:w="5326" w:type="dxa"/>
            <w:tcBorders>
              <w:top w:val="nil"/>
              <w:left w:val="single" w:sz="4" w:space="0" w:color="auto"/>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宋体"/>
                <w:kern w:val="0"/>
                <w:sz w:val="24"/>
              </w:rPr>
            </w:pPr>
            <w:r w:rsidRPr="002A79B1">
              <w:rPr>
                <w:rFonts w:ascii="宋体" w:hAnsi="宋体" w:cs="宋体" w:hint="eastAsia"/>
                <w:kern w:val="0"/>
                <w:sz w:val="24"/>
              </w:rPr>
              <w:t>交割月前一个月第16个日历日至交割月前一个月最后一个日历日期间的交易日</w:t>
            </w:r>
          </w:p>
        </w:tc>
        <w:tc>
          <w:tcPr>
            <w:tcW w:w="3180" w:type="dxa"/>
            <w:tcBorders>
              <w:top w:val="nil"/>
              <w:left w:val="nil"/>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宋体"/>
                <w:kern w:val="0"/>
                <w:sz w:val="24"/>
              </w:rPr>
            </w:pPr>
            <w:r w:rsidRPr="002A79B1">
              <w:rPr>
                <w:rFonts w:ascii="宋体" w:hAnsi="宋体" w:cs="宋体" w:hint="eastAsia"/>
                <w:kern w:val="0"/>
                <w:sz w:val="24"/>
              </w:rPr>
              <w:t>10%</w:t>
            </w:r>
          </w:p>
        </w:tc>
      </w:tr>
      <w:tr w:rsidR="00060455" w:rsidRPr="002A79B1" w:rsidTr="001055B7">
        <w:trPr>
          <w:trHeight w:val="312"/>
        </w:trPr>
        <w:tc>
          <w:tcPr>
            <w:tcW w:w="5326" w:type="dxa"/>
            <w:tcBorders>
              <w:top w:val="nil"/>
              <w:left w:val="single" w:sz="4" w:space="0" w:color="auto"/>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宋体"/>
                <w:kern w:val="0"/>
                <w:sz w:val="24"/>
              </w:rPr>
            </w:pPr>
            <w:r w:rsidRPr="002A79B1">
              <w:rPr>
                <w:rFonts w:ascii="宋体" w:hAnsi="宋体" w:cs="宋体" w:hint="eastAsia"/>
                <w:kern w:val="0"/>
                <w:sz w:val="24"/>
              </w:rPr>
              <w:t>交割月份</w:t>
            </w:r>
          </w:p>
        </w:tc>
        <w:tc>
          <w:tcPr>
            <w:tcW w:w="3180" w:type="dxa"/>
            <w:tcBorders>
              <w:top w:val="nil"/>
              <w:left w:val="nil"/>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宋体"/>
                <w:kern w:val="0"/>
                <w:sz w:val="24"/>
              </w:rPr>
            </w:pPr>
            <w:r w:rsidRPr="002A79B1">
              <w:rPr>
                <w:rFonts w:ascii="宋体" w:hAnsi="宋体" w:cs="宋体" w:hint="eastAsia"/>
                <w:kern w:val="0"/>
                <w:sz w:val="24"/>
              </w:rPr>
              <w:t>20%</w:t>
            </w:r>
          </w:p>
        </w:tc>
      </w:tr>
    </w:tbl>
    <w:p w:rsidR="00060455" w:rsidRPr="002A79B1" w:rsidRDefault="00060455" w:rsidP="00060455">
      <w:pPr>
        <w:snapToGrid w:val="0"/>
        <w:spacing w:before="240" w:line="360" w:lineRule="auto"/>
        <w:ind w:firstLineChars="200" w:firstLine="560"/>
        <w:rPr>
          <w:rFonts w:ascii="宋体" w:hAnsi="宋体" w:cs="宋体"/>
          <w:kern w:val="0"/>
          <w:sz w:val="28"/>
          <w:szCs w:val="28"/>
        </w:rPr>
      </w:pPr>
      <w:r w:rsidRPr="002A79B1">
        <w:rPr>
          <w:rFonts w:ascii="宋体" w:hAnsi="宋体" w:cs="宋体" w:hint="eastAsia"/>
          <w:kern w:val="0"/>
          <w:sz w:val="28"/>
          <w:szCs w:val="28"/>
        </w:rPr>
        <w:t>红枣期货合约各期间交易保证金标准见下表：</w:t>
      </w:r>
    </w:p>
    <w:tbl>
      <w:tblPr>
        <w:tblW w:w="8506"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6"/>
        <w:gridCol w:w="3180"/>
      </w:tblGrid>
      <w:tr w:rsidR="00060455" w:rsidRPr="002A79B1" w:rsidTr="001055B7">
        <w:trPr>
          <w:trHeight w:val="312"/>
        </w:trPr>
        <w:tc>
          <w:tcPr>
            <w:tcW w:w="5326" w:type="dxa"/>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宋体"/>
                <w:kern w:val="0"/>
                <w:sz w:val="24"/>
              </w:rPr>
            </w:pPr>
            <w:r w:rsidRPr="002A79B1">
              <w:rPr>
                <w:rFonts w:ascii="宋体" w:hAnsi="宋体" w:cs="宋体" w:hint="eastAsia"/>
                <w:kern w:val="0"/>
                <w:sz w:val="24"/>
              </w:rPr>
              <w:t>交易时间段</w:t>
            </w:r>
          </w:p>
        </w:tc>
        <w:tc>
          <w:tcPr>
            <w:tcW w:w="3180" w:type="dxa"/>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宋体"/>
                <w:kern w:val="0"/>
                <w:sz w:val="24"/>
              </w:rPr>
            </w:pPr>
            <w:r w:rsidRPr="002A79B1">
              <w:rPr>
                <w:rFonts w:ascii="宋体" w:hAnsi="宋体" w:cs="宋体" w:hint="eastAsia"/>
                <w:kern w:val="0"/>
                <w:sz w:val="24"/>
              </w:rPr>
              <w:t>交易保证金标准</w:t>
            </w:r>
          </w:p>
        </w:tc>
      </w:tr>
      <w:tr w:rsidR="00060455" w:rsidRPr="002A79B1" w:rsidTr="001055B7">
        <w:trPr>
          <w:trHeight w:val="169"/>
        </w:trPr>
        <w:tc>
          <w:tcPr>
            <w:tcW w:w="5326" w:type="dxa"/>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宋体"/>
                <w:kern w:val="0"/>
                <w:sz w:val="24"/>
              </w:rPr>
            </w:pPr>
            <w:r w:rsidRPr="002A79B1">
              <w:rPr>
                <w:rFonts w:ascii="宋体" w:hAnsi="宋体" w:cs="宋体" w:hint="eastAsia"/>
                <w:kern w:val="0"/>
                <w:sz w:val="24"/>
              </w:rPr>
              <w:t>自挂牌至交割月前二个月最后一个日历日期间的交易日</w:t>
            </w:r>
          </w:p>
        </w:tc>
        <w:tc>
          <w:tcPr>
            <w:tcW w:w="3180" w:type="dxa"/>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宋体"/>
                <w:kern w:val="0"/>
                <w:sz w:val="24"/>
              </w:rPr>
            </w:pPr>
            <w:r w:rsidRPr="002A79B1">
              <w:rPr>
                <w:rFonts w:ascii="宋体" w:hAnsi="宋体" w:cs="宋体" w:hint="eastAsia"/>
                <w:kern w:val="0"/>
                <w:sz w:val="24"/>
              </w:rPr>
              <w:t>7%</w:t>
            </w:r>
          </w:p>
        </w:tc>
      </w:tr>
      <w:tr w:rsidR="00060455" w:rsidRPr="002A79B1" w:rsidTr="001055B7">
        <w:trPr>
          <w:trHeight w:val="130"/>
        </w:trPr>
        <w:tc>
          <w:tcPr>
            <w:tcW w:w="5326" w:type="dxa"/>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宋体"/>
                <w:kern w:val="0"/>
                <w:sz w:val="24"/>
              </w:rPr>
            </w:pPr>
            <w:r w:rsidRPr="002A79B1">
              <w:rPr>
                <w:rFonts w:ascii="宋体" w:hAnsi="宋体" w:cs="宋体" w:hint="eastAsia"/>
                <w:kern w:val="0"/>
                <w:sz w:val="24"/>
              </w:rPr>
              <w:t>交割月前一个月第一个日历日至交割月前一个月第15个日历日期间的交易日</w:t>
            </w:r>
          </w:p>
        </w:tc>
        <w:tc>
          <w:tcPr>
            <w:tcW w:w="3180" w:type="dxa"/>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宋体"/>
                <w:kern w:val="0"/>
                <w:sz w:val="24"/>
              </w:rPr>
            </w:pPr>
            <w:r w:rsidRPr="002A79B1">
              <w:rPr>
                <w:rFonts w:ascii="宋体" w:hAnsi="宋体" w:cs="宋体" w:hint="eastAsia"/>
                <w:kern w:val="0"/>
                <w:sz w:val="24"/>
              </w:rPr>
              <w:t>10%</w:t>
            </w:r>
          </w:p>
        </w:tc>
      </w:tr>
      <w:tr w:rsidR="00060455" w:rsidRPr="002A79B1" w:rsidTr="001055B7">
        <w:trPr>
          <w:trHeight w:val="624"/>
        </w:trPr>
        <w:tc>
          <w:tcPr>
            <w:tcW w:w="5326" w:type="dxa"/>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宋体"/>
                <w:kern w:val="0"/>
                <w:sz w:val="24"/>
              </w:rPr>
            </w:pPr>
            <w:r w:rsidRPr="002A79B1">
              <w:rPr>
                <w:rFonts w:ascii="宋体" w:hAnsi="宋体" w:cs="宋体" w:hint="eastAsia"/>
                <w:kern w:val="0"/>
                <w:sz w:val="24"/>
              </w:rPr>
              <w:t>交割月前一个月第16个日历日至交割月前一个月最后一个日历日期间的交易日</w:t>
            </w:r>
          </w:p>
        </w:tc>
        <w:tc>
          <w:tcPr>
            <w:tcW w:w="3180" w:type="dxa"/>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宋体"/>
                <w:kern w:val="0"/>
                <w:sz w:val="24"/>
              </w:rPr>
            </w:pPr>
            <w:r w:rsidRPr="002A79B1">
              <w:rPr>
                <w:rFonts w:ascii="宋体" w:hAnsi="宋体" w:cs="宋体" w:hint="eastAsia"/>
                <w:kern w:val="0"/>
                <w:sz w:val="24"/>
              </w:rPr>
              <w:t>15%</w:t>
            </w:r>
          </w:p>
        </w:tc>
      </w:tr>
      <w:tr w:rsidR="00060455" w:rsidRPr="002A79B1" w:rsidTr="001055B7">
        <w:trPr>
          <w:trHeight w:val="130"/>
        </w:trPr>
        <w:tc>
          <w:tcPr>
            <w:tcW w:w="5326" w:type="dxa"/>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宋体"/>
                <w:kern w:val="0"/>
                <w:sz w:val="24"/>
              </w:rPr>
            </w:pPr>
            <w:r w:rsidRPr="002A79B1">
              <w:rPr>
                <w:rFonts w:ascii="宋体" w:hAnsi="宋体" w:cs="宋体" w:hint="eastAsia"/>
                <w:kern w:val="0"/>
                <w:sz w:val="24"/>
              </w:rPr>
              <w:t>交割月份</w:t>
            </w:r>
          </w:p>
        </w:tc>
        <w:tc>
          <w:tcPr>
            <w:tcW w:w="3180" w:type="dxa"/>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宋体"/>
                <w:kern w:val="0"/>
                <w:sz w:val="24"/>
              </w:rPr>
            </w:pPr>
            <w:r w:rsidRPr="002A79B1">
              <w:rPr>
                <w:rFonts w:ascii="宋体" w:hAnsi="宋体" w:cs="宋体" w:hint="eastAsia"/>
                <w:kern w:val="0"/>
                <w:sz w:val="24"/>
              </w:rPr>
              <w:t>20%</w:t>
            </w:r>
          </w:p>
        </w:tc>
      </w:tr>
    </w:tbl>
    <w:p w:rsidR="00060455" w:rsidRPr="002A79B1" w:rsidRDefault="00060455" w:rsidP="00060455">
      <w:pPr>
        <w:snapToGrid w:val="0"/>
        <w:spacing w:line="360" w:lineRule="auto"/>
        <w:rPr>
          <w:rFonts w:ascii="宋体" w:hAnsi="宋体" w:cs="宋体"/>
          <w:kern w:val="0"/>
          <w:sz w:val="28"/>
          <w:szCs w:val="28"/>
        </w:rPr>
      </w:pPr>
    </w:p>
    <w:p w:rsidR="00060455" w:rsidRPr="002A79B1" w:rsidRDefault="00060455" w:rsidP="00060455">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交易过程中，当日开仓按照该期货合约前一交易日结算价收取相应标准的交易保证金。当日结算时，该期货合约的所有持仓按照当日结算价收取相应标准的交易保证金。</w:t>
      </w:r>
    </w:p>
    <w:p w:rsidR="00060455" w:rsidRPr="002A79B1" w:rsidRDefault="00060455" w:rsidP="00060455">
      <w:pPr>
        <w:tabs>
          <w:tab w:val="left" w:pos="1260"/>
          <w:tab w:val="left" w:pos="1620"/>
          <w:tab w:val="left" w:pos="2100"/>
          <w:tab w:val="left" w:pos="5040"/>
        </w:tabs>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某期货合约所处期间符合调整交易保证金要求的，自该期间首日的前一交易日闭市起，该期货合约的所有持仓按照新的交易保证金标准收取相应的交易保证金。</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某期货合约按结算价计算的价格变化，连续四个交易日（即D1、D2、D3、D4交易日）累计涨(跌)幅（N）达到期货合约规定涨(跌)幅的3倍或者连续五个交易日（即D1、D2、D3、D4、D5交易日）累计涨(跌)幅（N）达到期货合约规定涨(跌)幅的3.5倍的，交易所有权提高交易保证金标准；提高交易保证金标准的幅度不高于期货合约当时适用的交易保证金标准的3倍。</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N的计算公式如下：</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N＝(P</w:t>
      </w:r>
      <w:r w:rsidRPr="002A79B1">
        <w:rPr>
          <w:rFonts w:ascii="宋体" w:hAnsi="宋体" w:cs="宋体" w:hint="eastAsia"/>
          <w:kern w:val="0"/>
          <w:sz w:val="28"/>
          <w:szCs w:val="28"/>
          <w:vertAlign w:val="subscript"/>
        </w:rPr>
        <w:t>t</w:t>
      </w:r>
      <w:r w:rsidRPr="002A79B1">
        <w:rPr>
          <w:rFonts w:ascii="宋体" w:hAnsi="宋体" w:cs="宋体" w:hint="eastAsia"/>
          <w:kern w:val="0"/>
          <w:sz w:val="28"/>
          <w:szCs w:val="28"/>
        </w:rPr>
        <w:t>—P</w:t>
      </w:r>
      <w:r w:rsidRPr="002A79B1">
        <w:rPr>
          <w:rFonts w:ascii="宋体" w:hAnsi="宋体" w:cs="宋体" w:hint="eastAsia"/>
          <w:kern w:val="0"/>
          <w:sz w:val="28"/>
          <w:szCs w:val="28"/>
          <w:vertAlign w:val="subscript"/>
        </w:rPr>
        <w:t>0</w:t>
      </w:r>
      <w:r w:rsidRPr="002A79B1">
        <w:rPr>
          <w:rFonts w:ascii="宋体" w:hAnsi="宋体" w:cs="宋体" w:hint="eastAsia"/>
          <w:kern w:val="0"/>
          <w:sz w:val="28"/>
          <w:szCs w:val="28"/>
        </w:rPr>
        <w:t>)/P</w:t>
      </w:r>
      <w:r w:rsidRPr="002A79B1">
        <w:rPr>
          <w:rFonts w:ascii="宋体" w:hAnsi="宋体" w:cs="宋体" w:hint="eastAsia"/>
          <w:kern w:val="0"/>
          <w:sz w:val="28"/>
          <w:szCs w:val="28"/>
          <w:vertAlign w:val="subscript"/>
        </w:rPr>
        <w:t>0</w:t>
      </w:r>
      <w:r w:rsidRPr="002A79B1">
        <w:rPr>
          <w:rFonts w:ascii="宋体" w:hAnsi="宋体" w:cs="宋体" w:hint="eastAsia"/>
          <w:kern w:val="0"/>
          <w:sz w:val="28"/>
          <w:szCs w:val="28"/>
        </w:rPr>
        <w:t>×100%   t=4，5</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P</w:t>
      </w:r>
      <w:r w:rsidRPr="002A79B1">
        <w:rPr>
          <w:rFonts w:ascii="宋体" w:hAnsi="宋体" w:cs="宋体" w:hint="eastAsia"/>
          <w:kern w:val="0"/>
          <w:sz w:val="28"/>
          <w:szCs w:val="28"/>
          <w:vertAlign w:val="subscript"/>
        </w:rPr>
        <w:t>0</w:t>
      </w:r>
      <w:r w:rsidRPr="002A79B1">
        <w:rPr>
          <w:rFonts w:ascii="宋体" w:hAnsi="宋体" w:cs="宋体" w:hint="eastAsia"/>
          <w:kern w:val="0"/>
          <w:sz w:val="28"/>
          <w:szCs w:val="28"/>
        </w:rPr>
        <w:t>为D1交易日前一交易日结算价</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P</w:t>
      </w:r>
      <w:r w:rsidRPr="002A79B1">
        <w:rPr>
          <w:rFonts w:ascii="宋体" w:hAnsi="宋体" w:cs="宋体" w:hint="eastAsia"/>
          <w:kern w:val="0"/>
          <w:sz w:val="28"/>
          <w:szCs w:val="28"/>
          <w:vertAlign w:val="subscript"/>
        </w:rPr>
        <w:t>t</w:t>
      </w:r>
      <w:r w:rsidRPr="002A79B1">
        <w:rPr>
          <w:rFonts w:ascii="宋体" w:hAnsi="宋体" w:cs="宋体" w:hint="eastAsia"/>
          <w:kern w:val="0"/>
          <w:sz w:val="28"/>
          <w:szCs w:val="28"/>
        </w:rPr>
        <w:t>为t交易日结算价，t=4，5</w:t>
      </w:r>
    </w:p>
    <w:p w:rsidR="00060455" w:rsidRPr="002A79B1" w:rsidRDefault="00060455" w:rsidP="00060455">
      <w:pPr>
        <w:snapToGrid w:val="0"/>
        <w:spacing w:line="360" w:lineRule="auto"/>
        <w:ind w:firstLineChars="198" w:firstLine="554"/>
        <w:rPr>
          <w:rFonts w:ascii="宋体" w:hAnsi="宋体" w:cs="宋体"/>
          <w:kern w:val="0"/>
          <w:sz w:val="28"/>
          <w:szCs w:val="28"/>
        </w:rPr>
      </w:pPr>
      <w:r w:rsidRPr="002A79B1">
        <w:rPr>
          <w:rFonts w:ascii="宋体" w:eastAsia="黑体" w:hAnsi="宋体" w:cs="宋体" w:hint="eastAsia"/>
          <w:kern w:val="0"/>
          <w:sz w:val="28"/>
          <w:szCs w:val="28"/>
        </w:rPr>
        <w:t>第九条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遇法定节假日休市时间较长的，交易所可以在休市前调整期货合约交易保证金标准和涨跌停板幅度。</w:t>
      </w:r>
    </w:p>
    <w:p w:rsidR="00060455" w:rsidRPr="002A79B1" w:rsidRDefault="00060455" w:rsidP="00060455">
      <w:pPr>
        <w:snapToGrid w:val="0"/>
        <w:spacing w:line="360" w:lineRule="auto"/>
        <w:ind w:firstLineChars="198" w:firstLine="554"/>
        <w:rPr>
          <w:rFonts w:ascii="宋体" w:hAnsi="宋体" w:cs="宋体"/>
          <w:kern w:val="0"/>
          <w:sz w:val="28"/>
          <w:szCs w:val="28"/>
        </w:rPr>
      </w:pPr>
      <w:r w:rsidRPr="002A79B1">
        <w:rPr>
          <w:rFonts w:ascii="宋体" w:eastAsia="黑体" w:hAnsi="宋体" w:cs="宋体" w:hint="eastAsia"/>
          <w:kern w:val="0"/>
          <w:sz w:val="28"/>
          <w:szCs w:val="28"/>
        </w:rPr>
        <w:t>第十条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某期货合约市场风险明显增大时，交易所可根据某期货合约市场风险情况采取下列措施：</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（一）对全部或者部分会员、境外经纪机构、客户限制出入金；</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（二）对全部或者部分非期货公司会员、客户限制开平仓；</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（三）调整该期货合约交易保证金标准；</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（四）调整该期货合约涨跌停板幅度。</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当某期货合约市场行情趋于平缓时，交易所可以将上述措施恢复到正常水平。</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交易所调整交易保证金标准或者涨跌停板幅度的，应予公告，并报中国证监会备案。</w:t>
      </w:r>
    </w:p>
    <w:p w:rsidR="00060455" w:rsidRPr="002A79B1" w:rsidRDefault="00060455" w:rsidP="00060455">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同时适用本办法规定的两种或者两种以上有关调整交</w:t>
      </w:r>
      <w:r w:rsidRPr="002A79B1">
        <w:rPr>
          <w:rFonts w:ascii="宋体" w:hAnsi="宋体" w:cs="宋体" w:hint="eastAsia"/>
          <w:kern w:val="0"/>
          <w:sz w:val="28"/>
          <w:szCs w:val="28"/>
        </w:rPr>
        <w:lastRenderedPageBreak/>
        <w:t>易保证金标准的期货合约，其交易保证金标准按照最高值收取。</w:t>
      </w:r>
    </w:p>
    <w:p w:rsidR="00060455" w:rsidRPr="002A79B1" w:rsidRDefault="00060455" w:rsidP="00060455">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会员未能按时足额交纳交易保证金的，交易所有权对其相关期货合约持仓执行强行平仓，直至保证金能够维持其持仓水平为止。</w:t>
      </w:r>
    </w:p>
    <w:p w:rsidR="00060455" w:rsidRPr="002A79B1" w:rsidRDefault="00060455" w:rsidP="00060455">
      <w:pPr>
        <w:widowControl/>
        <w:spacing w:line="360" w:lineRule="auto"/>
        <w:jc w:val="center"/>
        <w:outlineLvl w:val="1"/>
        <w:rPr>
          <w:rFonts w:ascii="宋体" w:eastAsia="黑体" w:hAnsi="宋体" w:cs="宋体"/>
          <w:kern w:val="0"/>
          <w:sz w:val="32"/>
          <w:szCs w:val="28"/>
        </w:rPr>
      </w:pPr>
      <w:bookmarkStart w:id="2" w:name="_Toc392878609"/>
      <w:r w:rsidRPr="002A79B1">
        <w:rPr>
          <w:rFonts w:ascii="宋体" w:eastAsia="黑体" w:hAnsi="宋体" w:cs="宋体" w:hint="eastAsia"/>
          <w:kern w:val="0"/>
          <w:sz w:val="32"/>
          <w:szCs w:val="28"/>
        </w:rPr>
        <w:t>第三章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涨跌停板制度</w:t>
      </w:r>
      <w:bookmarkEnd w:id="2"/>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期货交易实行价格涨跌停板制度，由交易所规定各上市期货合约的每日最大价格波动幅度。</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对同时满足本办法有关调整涨跌停板幅度规定的合约，其涨跌停板幅度按照规定涨跌停板幅度数值中的较大值确定。</w:t>
      </w:r>
    </w:p>
    <w:p w:rsidR="00060455" w:rsidRPr="002A79B1" w:rsidRDefault="00060455" w:rsidP="00060455">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苹果、红枣期货合约每日涨跌停板幅度为前一交易日结算价的±5%。</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除苹果、红枣外，其他品种期货合约每日涨跌停板幅度为前一交易日结算价的±4%。</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新期货合约上市当日至成交首日，涨跌停板幅度为期货合约实际执行的涨跌停板幅度的2倍。</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新期货合约成交首日的下一交易日，涨跌停板幅度恢复为期货合约实际执行的涨跌停板幅度。</w:t>
      </w:r>
    </w:p>
    <w:p w:rsidR="00060455" w:rsidRPr="002A79B1" w:rsidRDefault="00060455" w:rsidP="00060455">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某期货合约以涨跌停板价格成交的，成交撮合原则为平仓优先和时间优先。</w:t>
      </w:r>
    </w:p>
    <w:p w:rsidR="00060455" w:rsidRPr="002A79B1" w:rsidRDefault="00060455" w:rsidP="00060455">
      <w:pPr>
        <w:tabs>
          <w:tab w:val="left" w:pos="1854"/>
          <w:tab w:val="left" w:pos="2100"/>
        </w:tabs>
        <w:snapToGrid w:val="0"/>
        <w:spacing w:line="360" w:lineRule="auto"/>
        <w:ind w:firstLineChars="200" w:firstLine="560"/>
        <w:rPr>
          <w:rFonts w:ascii="宋体" w:hAnsi="宋体" w:cs="宋体"/>
          <w:kern w:val="0"/>
          <w:sz w:val="28"/>
          <w:szCs w:val="28"/>
        </w:rPr>
      </w:pPr>
      <w:r w:rsidRPr="002A79B1">
        <w:rPr>
          <w:rFonts w:ascii="黑体" w:eastAsia="黑体" w:hAnsi="宋体" w:cs="黑体" w:hint="eastAsia"/>
          <w:sz w:val="28"/>
          <w:szCs w:val="28"/>
        </w:rPr>
        <w:t xml:space="preserve">第十七条 </w:t>
      </w:r>
      <w:r w:rsidRPr="002A79B1">
        <w:rPr>
          <w:rFonts w:ascii="宋体" w:hAnsi="宋体" w:cs="宋体" w:hint="eastAsia"/>
          <w:kern w:val="0"/>
          <w:sz w:val="28"/>
          <w:szCs w:val="28"/>
        </w:rPr>
        <w:t>某期货合约在某一交易日收盘前5分钟内出现只有停板价位的买入(卖出)申报、没有停板价位的卖出(买入)申报，或者一有卖出(买入)申报就成交、但未打开停板价位的情况，称为涨（跌）停板单方无报价（以下简称单边市）。</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某期货合约在某一交易日（该交易日称为D1交易日，以下几个交易日分别称为D2、D3、D4、D5交易日）出现单边市的，D2交易日该期货合约的涨跌停板幅度为在D1交易日涨跌停板幅度的基础上增加3个百分点；D1交易日结算时和D2交易日该期货合约交易保证金标准为在D2交易日涨跌停板幅度的基础上增加2个百分点。若该合约调整后的交易保证金标准低于D1交易日执行的交易保证金标准，则按D1交易日该合约执行的交易保证金标准收取。</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D2交易日该期货合约未出现同方向单边市的，当日结算时交易保证金标准恢复到正常水平；D3交易日涨跌停板幅度恢复到正常水平。D2交易日出现同方向单边市的，D3交易日该期货合约的涨跌停板幅度为在D2交易日涨跌停板幅度的基础上增加3个百分点；D2交易日结算时和D3交易日该期货合约交易保证金标准为在D3交易日涨跌停板幅度的基础上增加2个百分点。若该合约调整后的交易保证金标准低于D2交易日执行的交易保证金标准，则按D2交易日该合约执行的交易保证金标准收取。</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D3交易日该期货合约未出现同方向单边市的，当日结算时交易保证金标准恢复到正常水平；D4交易日涨跌停板幅度恢复到正常水平。D3交易日该期货合约仍出现同方向单边市的（即连续三个交易日出现同方向单边市），交易所可根据市场情况决定并公告，对该合约实施下列三种措施中的任意一种：</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措施一：D4交易日继续交易，交易所可以采取调整交易保证金标准、调整涨跌停板幅度、暂停开仓、暂停平仓、限制出金、限期平仓及其他风险控制措施。</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措施二：D4交易日暂停交易一天，交易所在D5交易日可以采取调整交易保证金标准、调整涨跌停板幅度、暂停开仓、暂停平仓、限制出金、限期平仓及其他风险控制措施。</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措施三：D4交易日暂停交易一天，交易所在D4交易日强制减仓。强制减仓后，从下一交易日（含该日）开始，该期货合约交易保证金标准和涨跌停板幅度按照D3交易日的标准执行，直至该期货合约不再出现同方向单边市。</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当D2及以后交易日出现与前一交易日反方向涨跌停板单边市，则视作新一轮单边市开始，该日即视为D1交易日，下一交易日涨跌停板幅度和交易保证金标准参照第十八条执行。</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第二十条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强制减仓是指D4交易日结算时，交易所将D3交易日闭市时以涨跌停板价申报的未成交平仓报单，且该客户（包括非期货公司会员，下同）该期货合约单位持仓亏损大于或者等于D3交易日结算价一定比例(该期货合约规定的最低交易保证金标准)的所有持仓，以D3交易日涨跌停板价，与该期货合约盈利持仓按规定方式和方法自动撮合成交。</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强制减仓前，同一客户在该期货合约的双向持仓首先自动对冲。强制减仓造成的经济损失由会员、境外经纪机构及客户承担。</w:t>
      </w:r>
    </w:p>
    <w:p w:rsidR="00060455" w:rsidRPr="002A79B1" w:rsidRDefault="00060455" w:rsidP="00060455">
      <w:pPr>
        <w:widowControl/>
        <w:spacing w:line="360" w:lineRule="auto"/>
        <w:ind w:firstLineChars="200" w:firstLine="560"/>
        <w:outlineLvl w:val="3"/>
        <w:rPr>
          <w:rFonts w:ascii="宋体" w:hAnsi="宋体" w:cs="宋体"/>
          <w:b/>
          <w:bCs/>
          <w:kern w:val="0"/>
          <w:sz w:val="28"/>
          <w:szCs w:val="28"/>
        </w:rPr>
      </w:pPr>
      <w:r w:rsidRPr="002A79B1">
        <w:rPr>
          <w:rFonts w:ascii="宋体" w:eastAsia="黑体" w:hAnsi="宋体" w:cs="宋体" w:hint="eastAsia"/>
          <w:kern w:val="0"/>
          <w:sz w:val="28"/>
          <w:szCs w:val="28"/>
        </w:rPr>
        <w:t>第二十一条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强制减仓的方法和程序：</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（一）申报数量的确定</w:t>
      </w:r>
    </w:p>
    <w:p w:rsidR="00060455" w:rsidRPr="002A79B1" w:rsidRDefault="00060455" w:rsidP="00060455">
      <w:pPr>
        <w:widowControl/>
        <w:spacing w:line="360" w:lineRule="auto"/>
        <w:ind w:firstLineChars="200" w:firstLine="420"/>
        <w:outlineLvl w:val="3"/>
        <w:rPr>
          <w:rFonts w:ascii="宋体" w:hAnsi="宋体" w:cs="宋体"/>
          <w:kern w:val="0"/>
          <w:sz w:val="28"/>
          <w:szCs w:val="28"/>
        </w:rPr>
      </w:pPr>
      <w:r w:rsidRPr="001E50D3">
        <w:pict>
          <v:shapetype id="_x0000_t202" coordsize="21600,21600" o:spt="202" path="m,l,21600r21600,l21600,xe">
            <v:stroke joinstyle="miter"/>
            <v:path gradientshapeok="t" o:connecttype="rect"/>
          </v:shapetype>
          <v:shape id="Text Box 2" o:spid="_x0000_s1027" type="#_x0000_t202" style="position:absolute;left:0;text-align:left;margin-left:230.75pt;margin-top:185.95pt;width:223.25pt;height:38.25pt;z-index:-251658240;visibility:visible;mso-width-relative:margin;mso-height-relative:margin" filled="f" strokecolor="white">
            <v:textbox style="mso-next-textbox:#Text Box 2">
              <w:txbxContent>
                <w:p w:rsidR="00060455" w:rsidRDefault="00060455" w:rsidP="00060455">
                  <w:pPr>
                    <w:tabs>
                      <w:tab w:val="left" w:pos="1620"/>
                      <w:tab w:val="left" w:pos="1980"/>
                      <w:tab w:val="left" w:pos="5040"/>
                    </w:tabs>
                    <w:snapToGrid w:val="0"/>
                    <w:ind w:firstLineChars="1700" w:firstLine="4420"/>
                    <w:rPr>
                      <w:rFonts w:ascii="宋体"/>
                      <w:spacing w:val="-2"/>
                      <w:sz w:val="24"/>
                    </w:rPr>
                  </w:pPr>
                  <w:r>
                    <w:rPr>
                      <w:rFonts w:ascii="宋体" w:hAnsi="宋体" w:cs="宋体" w:hint="eastAsia"/>
                      <w:spacing w:val="10"/>
                      <w:sz w:val="24"/>
                    </w:rPr>
                    <w:t>客客户</w:t>
                  </w:r>
                  <w:r>
                    <w:rPr>
                      <w:rFonts w:ascii="宋体" w:hAnsi="宋体" w:cs="宋体" w:hint="eastAsia"/>
                      <w:spacing w:val="-2"/>
                      <w:sz w:val="24"/>
                    </w:rPr>
                    <w:t>该</w:t>
                  </w:r>
                  <w:r>
                    <w:rPr>
                      <w:rFonts w:ascii="宋体" w:hAnsi="宋体" w:cs="宋体" w:hint="eastAsia"/>
                      <w:sz w:val="24"/>
                    </w:rPr>
                    <w:t>期货</w:t>
                  </w:r>
                  <w:r>
                    <w:rPr>
                      <w:rFonts w:ascii="宋体" w:hAnsi="宋体" w:cs="宋体" w:hint="eastAsia"/>
                      <w:spacing w:val="-2"/>
                      <w:sz w:val="24"/>
                    </w:rPr>
                    <w:t>合约持仓盈亏的总和(元)</w:t>
                  </w:r>
                </w:p>
              </w:txbxContent>
            </v:textbox>
          </v:shape>
        </w:pict>
      </w:r>
      <w:r w:rsidRPr="002A79B1">
        <w:rPr>
          <w:rFonts w:ascii="宋体" w:hAnsi="宋体" w:cs="宋体" w:hint="eastAsia"/>
          <w:kern w:val="0"/>
          <w:sz w:val="28"/>
          <w:szCs w:val="28"/>
        </w:rPr>
        <w:t>D3交易日收市后，已在计算机系统中以涨（跌）停板价申报但没有成交的，且该客户该期货合约的单位持仓亏损大于或者等于D3交易日结算价一定比例(该期货合约规定的最低交易保证金标准)的所有申报平仓数量的总和。因自动对冲客户双向持仓造成客户持仓少于平仓单所报数量时，系统自动将平仓数量进行调整。客户不愿按上述方法平仓的，可在收市前撤单，不作为申报的平仓报单。</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客户单位持仓盈亏的计算方法：</w:t>
      </w:r>
    </w:p>
    <w:p w:rsidR="00060455" w:rsidRDefault="00060455" w:rsidP="00060455">
      <w:pPr>
        <w:adjustRightInd w:val="0"/>
        <w:snapToGrid w:val="0"/>
        <w:ind w:right="-21" w:firstLineChars="250" w:firstLine="525"/>
        <w:rPr>
          <w:rFonts w:ascii="宋体" w:hAnsi="宋体" w:cs="宋体"/>
          <w:spacing w:val="10"/>
          <w:sz w:val="24"/>
        </w:rPr>
      </w:pPr>
      <w:r w:rsidRPr="001E50D3">
        <w:pict>
          <v:shapetype id="_x0000_t32" coordsize="21600,21600" o:spt="32" o:oned="t" path="m,l21600,21600e" filled="f">
            <v:path arrowok="t" fillok="f" o:connecttype="none"/>
            <o:lock v:ext="edit" shapetype="t"/>
          </v:shapetype>
          <v:shape id="AutoShape 3" o:spid="_x0000_s1026" type="#_x0000_t32" style="position:absolute;left:0;text-align:left;margin-left:241.05pt;margin-top:10.75pt;width:179.1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EFg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"/>
        </w:pict>
      </w:r>
      <w:r w:rsidRPr="002A79B1">
        <w:rPr>
          <w:rFonts w:ascii="宋体" w:hAnsi="宋体" w:cs="宋体" w:hint="eastAsia"/>
          <w:spacing w:val="10"/>
          <w:sz w:val="28"/>
          <w:szCs w:val="28"/>
        </w:rPr>
        <w:t>客户该期货合约单位持仓盈亏 =</w:t>
      </w:r>
    </w:p>
    <w:p w:rsidR="00060455" w:rsidRPr="002A79B1" w:rsidRDefault="00060455" w:rsidP="00060455">
      <w:pPr>
        <w:adjustRightInd w:val="0"/>
        <w:snapToGrid w:val="0"/>
        <w:ind w:firstLineChars="1918" w:firstLine="4987"/>
        <w:rPr>
          <w:rFonts w:ascii="宋体"/>
          <w:spacing w:val="-2"/>
          <w:sz w:val="24"/>
        </w:rPr>
      </w:pPr>
      <w:r w:rsidRPr="002A79B1">
        <w:rPr>
          <w:rFonts w:ascii="宋体" w:hAnsi="宋体" w:cs="宋体" w:hint="eastAsia"/>
          <w:spacing w:val="10"/>
          <w:sz w:val="24"/>
        </w:rPr>
        <w:t>客户</w:t>
      </w:r>
      <w:r w:rsidRPr="002A79B1">
        <w:rPr>
          <w:rFonts w:ascii="宋体" w:hAnsi="宋体" w:cs="宋体" w:hint="eastAsia"/>
          <w:spacing w:val="-2"/>
          <w:sz w:val="24"/>
        </w:rPr>
        <w:t>该</w:t>
      </w:r>
      <w:r w:rsidRPr="002A79B1">
        <w:rPr>
          <w:rFonts w:ascii="宋体" w:hAnsi="宋体" w:cs="宋体" w:hint="eastAsia"/>
          <w:sz w:val="24"/>
        </w:rPr>
        <w:t>期货</w:t>
      </w:r>
      <w:r w:rsidRPr="002A79B1">
        <w:rPr>
          <w:rFonts w:ascii="宋体" w:hAnsi="宋体" w:cs="宋体" w:hint="eastAsia"/>
          <w:spacing w:val="-2"/>
          <w:sz w:val="24"/>
        </w:rPr>
        <w:t>合约的持仓量(手)</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客户该期货合约持仓盈亏总和，是指客户该期货合约的持仓按其实际成交价与当日结算价之差计算的盈亏总和。</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（二）持仓盈利客户平仓范围的确定</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根据上述方法计算的客户单位持仓盈利的投机持仓（包括套利持仓）以及客户单位持仓盈利大于或等于期货合约规定价幅2倍的保值持仓都列入平仓范围。</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（三）平仓数量的分配原则及方法</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1.平仓数量的分配原则</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（1）在平仓范围内按盈利的大小和投机与保值的不同分成四级，逐级进行分配。</w:t>
      </w:r>
    </w:p>
    <w:p w:rsidR="00060455" w:rsidRPr="002A79B1" w:rsidRDefault="00060455" w:rsidP="00060455">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首先分配给属平仓范围内单位持仓盈利大于或者等于期货合约规定价幅（以D3交易日结算价计算，下同）2倍的投机持仓(以下简称盈利2倍的投机持仓)。</w:t>
      </w:r>
    </w:p>
    <w:p w:rsidR="00060455" w:rsidRPr="002A79B1" w:rsidRDefault="00060455" w:rsidP="00060455">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lastRenderedPageBreak/>
        <w:t>其次分配给单位持仓盈利大于或者等于期货合约规定价幅1倍的投机持仓(以下简称盈利1倍的投机持仓)。</w:t>
      </w:r>
    </w:p>
    <w:p w:rsidR="00060455" w:rsidRPr="002A79B1" w:rsidRDefault="00060455" w:rsidP="00060455">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再次分配给单位持仓盈利大于或者等于期货合约规定价幅1倍以下的投机持仓(以下简称盈利1倍以下的投机持仓)。</w:t>
      </w:r>
    </w:p>
    <w:p w:rsidR="00060455" w:rsidRPr="002A79B1" w:rsidRDefault="00060455" w:rsidP="00060455">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最后分配给单位持仓盈利大于或等于合约规定价幅2倍的保值持仓(以下简称盈利2倍的保值持仓)。</w:t>
      </w:r>
    </w:p>
    <w:p w:rsidR="00060455" w:rsidRPr="002A79B1" w:rsidRDefault="00060455" w:rsidP="00060455">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（2）以上各级分配比例均按申报平仓数量(剩余申报平仓数量)与各级可平仓的盈利持仓数量之比进行分配。</w:t>
      </w:r>
    </w:p>
    <w:p w:rsidR="00060455" w:rsidRPr="002A79B1" w:rsidRDefault="00060455" w:rsidP="00060455">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2.平仓数量的分配方法及步骤</w:t>
      </w:r>
    </w:p>
    <w:p w:rsidR="00060455" w:rsidRPr="002A79B1" w:rsidRDefault="00060455" w:rsidP="00060455">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若盈利2倍的投机持仓数量大于或者等于申报平仓数量，根据申报平仓数量与盈利2倍的投机持仓数量的比例，将申报平仓数量向盈利2倍的投机客户等比例分配实际平仓数量。</w:t>
      </w:r>
    </w:p>
    <w:p w:rsidR="00060455" w:rsidRPr="002A79B1" w:rsidRDefault="00060455" w:rsidP="00060455">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盈利2倍的投机持仓数量小于申报平仓数量，则根据盈利2倍的投机持仓数量与申报平仓数量的比例，将盈利2倍的投机持仓数量向申报平仓客户分配实际平仓数量；再把剩余的申报平仓数量按上述的分配方法向盈利1倍的投机持仓分配；还有剩余的，再向盈利1倍以下的投机持仓分配；若还有剩余，再向盈利2倍的保值持仓分配；仍有剩余的，不再分配。具体方法与步骤见本办法附件。</w:t>
      </w:r>
    </w:p>
    <w:p w:rsidR="00060455" w:rsidRPr="002A79B1" w:rsidRDefault="00060455" w:rsidP="00060455">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分配平仓数量以“手”为单位，不足一手的按如下方法计算。首先对每个交易编码所分配到的平仓数量的整数部分进行分配，然后按小数部分由大到小的顺序“进位取整”进行分配。</w:t>
      </w:r>
    </w:p>
    <w:p w:rsidR="00060455" w:rsidRPr="002A79B1" w:rsidRDefault="00060455" w:rsidP="00060455">
      <w:pPr>
        <w:tabs>
          <w:tab w:val="left" w:pos="1620"/>
          <w:tab w:val="left" w:pos="1980"/>
          <w:tab w:val="left" w:pos="5040"/>
        </w:tabs>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第二十二条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采取上述措施后该期货合约风险仍未释放的，交易</w:t>
      </w:r>
      <w:r w:rsidRPr="002A79B1">
        <w:rPr>
          <w:rFonts w:ascii="宋体" w:hAnsi="宋体" w:cs="宋体" w:hint="eastAsia"/>
          <w:kern w:val="0"/>
          <w:sz w:val="28"/>
          <w:szCs w:val="28"/>
        </w:rPr>
        <w:lastRenderedPageBreak/>
        <w:t>所宣布进入异常情况，并按有关规定采取风险控制措施。</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第二十三条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新期货合约成交首日以前（含该日）出现单边市的，该期货合约的涨跌停板幅度和交易保证金标准不受本章第十八条限制。</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某期货合约在交割月的最后交易日出现第三个连续同方向单边市的，则当日闭市后，交易所根据市场情况，决定对该期货合约先执行强制减仓之后配对交割或者直接配对交割。</w:t>
      </w:r>
    </w:p>
    <w:p w:rsidR="00060455" w:rsidRPr="002A79B1" w:rsidRDefault="00060455" w:rsidP="00060455">
      <w:pPr>
        <w:widowControl/>
        <w:spacing w:line="360" w:lineRule="auto"/>
        <w:jc w:val="center"/>
        <w:outlineLvl w:val="1"/>
        <w:rPr>
          <w:rFonts w:ascii="宋体" w:eastAsia="黑体" w:hAnsi="宋体" w:cs="宋体"/>
          <w:kern w:val="0"/>
          <w:sz w:val="32"/>
          <w:szCs w:val="28"/>
        </w:rPr>
      </w:pPr>
      <w:bookmarkStart w:id="3" w:name="_Toc392878610"/>
      <w:r w:rsidRPr="002A79B1">
        <w:rPr>
          <w:rFonts w:ascii="宋体" w:eastAsia="黑体" w:hAnsi="宋体" w:cs="宋体" w:hint="eastAsia"/>
          <w:kern w:val="0"/>
          <w:sz w:val="32"/>
          <w:szCs w:val="28"/>
        </w:rPr>
        <w:t>第四章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限仓制度</w:t>
      </w:r>
      <w:bookmarkEnd w:id="3"/>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第二十四条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期货交易实行限仓制度。</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限仓是指交易所规定会员或者客户按单边计算的、可以持有某一期货合约投机持仓的最大数量。</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黑体" w:eastAsia="黑体" w:hAnsi="黑体" w:cs="宋体" w:hint="eastAsia"/>
          <w:kern w:val="0"/>
          <w:sz w:val="28"/>
          <w:szCs w:val="28"/>
        </w:rPr>
        <w:t>第二十五条</w:t>
      </w:r>
      <w:r w:rsidRPr="002A79B1">
        <w:rPr>
          <w:rFonts w:ascii="宋体" w:hAnsi="宋体" w:cs="宋体" w:hint="eastAsia"/>
          <w:kern w:val="0"/>
          <w:sz w:val="28"/>
          <w:szCs w:val="28"/>
        </w:rPr>
        <w:t xml:space="preserve"> 各品种期货合约对期货公司会员不限仓。</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黑体" w:eastAsia="黑体" w:hAnsi="黑体" w:cs="宋体" w:hint="eastAsia"/>
          <w:kern w:val="0"/>
          <w:sz w:val="28"/>
          <w:szCs w:val="28"/>
        </w:rPr>
        <w:t>第二十六条</w:t>
      </w:r>
      <w:r w:rsidRPr="002A79B1">
        <w:rPr>
          <w:rFonts w:ascii="宋体" w:hAnsi="宋体" w:cs="宋体" w:hint="eastAsia"/>
          <w:kern w:val="0"/>
          <w:sz w:val="28"/>
          <w:szCs w:val="28"/>
        </w:rPr>
        <w:t xml:space="preserve"> 一号棉、白糖、PTA、菜油、甲醇、玻璃、菜粕、动力煤、尿素和纯碱期货合约自合约挂牌至交割月前一个月第15个日历日期间的交易日，当合约的单边持仓量大于或等于一定规模时，非期货公司会员和客户按单边持仓量的10%确定限仓数额；当合约的单边持仓量小于一定规模时，非期货公司会员和客户按绝对量方式确定限仓数额。具体限仓标准见下表：</w:t>
      </w:r>
    </w:p>
    <w:tbl>
      <w:tblPr>
        <w:tblW w:w="5000" w:type="pct"/>
        <w:jc w:val="center"/>
        <w:tblLook w:val="04A0"/>
      </w:tblPr>
      <w:tblGrid>
        <w:gridCol w:w="1305"/>
        <w:gridCol w:w="3510"/>
        <w:gridCol w:w="3713"/>
      </w:tblGrid>
      <w:tr w:rsidR="00060455" w:rsidRPr="002A79B1" w:rsidTr="001055B7">
        <w:trPr>
          <w:trHeight w:val="540"/>
          <w:jc w:val="center"/>
        </w:trPr>
        <w:tc>
          <w:tcPr>
            <w:tcW w:w="765"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品  种</w:t>
            </w:r>
          </w:p>
        </w:tc>
        <w:tc>
          <w:tcPr>
            <w:tcW w:w="2058" w:type="pct"/>
            <w:tcBorders>
              <w:top w:val="single" w:sz="4" w:space="0" w:color="auto"/>
              <w:left w:val="nil"/>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期货合约单边持仓量</w:t>
            </w:r>
          </w:p>
        </w:tc>
        <w:tc>
          <w:tcPr>
            <w:tcW w:w="2177" w:type="pct"/>
            <w:tcBorders>
              <w:top w:val="single" w:sz="4" w:space="0" w:color="auto"/>
              <w:left w:val="nil"/>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非期货公司会员及客户最大单边持仓</w:t>
            </w:r>
          </w:p>
        </w:tc>
      </w:tr>
      <w:tr w:rsidR="00060455" w:rsidRPr="002A79B1" w:rsidTr="001055B7">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一号棉</w:t>
            </w:r>
          </w:p>
        </w:tc>
        <w:tc>
          <w:tcPr>
            <w:tcW w:w="2058" w:type="pct"/>
            <w:tcBorders>
              <w:top w:val="nil"/>
              <w:left w:val="nil"/>
              <w:bottom w:val="single" w:sz="4" w:space="0" w:color="auto"/>
              <w:right w:val="single" w:sz="4" w:space="0" w:color="auto"/>
            </w:tcBorders>
            <w:noWrap/>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单边持仓量＜20万</w:t>
            </w:r>
          </w:p>
        </w:tc>
        <w:tc>
          <w:tcPr>
            <w:tcW w:w="2177" w:type="pct"/>
            <w:tcBorders>
              <w:top w:val="nil"/>
              <w:left w:val="nil"/>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20000</w:t>
            </w:r>
          </w:p>
        </w:tc>
      </w:tr>
      <w:tr w:rsidR="00060455" w:rsidRPr="002A79B1" w:rsidTr="001055B7">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060455" w:rsidRPr="002A79B1" w:rsidRDefault="00060455" w:rsidP="001055B7">
            <w:pPr>
              <w:widowControl/>
              <w:jc w:val="left"/>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单边持仓量≥20万</w:t>
            </w:r>
          </w:p>
        </w:tc>
        <w:tc>
          <w:tcPr>
            <w:tcW w:w="2177" w:type="pct"/>
            <w:tcBorders>
              <w:top w:val="nil"/>
              <w:left w:val="nil"/>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单边持仓量×10%</w:t>
            </w:r>
          </w:p>
        </w:tc>
      </w:tr>
      <w:tr w:rsidR="00060455" w:rsidRPr="002A79B1" w:rsidTr="001055B7">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白糖</w:t>
            </w:r>
          </w:p>
        </w:tc>
        <w:tc>
          <w:tcPr>
            <w:tcW w:w="2058" w:type="pct"/>
            <w:tcBorders>
              <w:top w:val="nil"/>
              <w:left w:val="nil"/>
              <w:bottom w:val="single" w:sz="4" w:space="0" w:color="auto"/>
              <w:right w:val="single" w:sz="4" w:space="0" w:color="auto"/>
            </w:tcBorders>
            <w:noWrap/>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单边持仓量＜30万</w:t>
            </w:r>
          </w:p>
        </w:tc>
        <w:tc>
          <w:tcPr>
            <w:tcW w:w="2177" w:type="pct"/>
            <w:tcBorders>
              <w:top w:val="nil"/>
              <w:left w:val="nil"/>
              <w:bottom w:val="single" w:sz="4" w:space="0" w:color="auto"/>
              <w:right w:val="single" w:sz="4" w:space="0" w:color="auto"/>
            </w:tcBorders>
            <w:noWrap/>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30000</w:t>
            </w:r>
          </w:p>
        </w:tc>
      </w:tr>
      <w:tr w:rsidR="00060455" w:rsidRPr="002A79B1" w:rsidTr="001055B7">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060455" w:rsidRPr="002A79B1" w:rsidRDefault="00060455" w:rsidP="001055B7">
            <w:pPr>
              <w:widowControl/>
              <w:jc w:val="left"/>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单边持仓量≥30万</w:t>
            </w:r>
          </w:p>
        </w:tc>
        <w:tc>
          <w:tcPr>
            <w:tcW w:w="2177" w:type="pct"/>
            <w:tcBorders>
              <w:top w:val="nil"/>
              <w:left w:val="nil"/>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单边持仓量×10%</w:t>
            </w:r>
          </w:p>
        </w:tc>
      </w:tr>
      <w:tr w:rsidR="00060455" w:rsidRPr="002A79B1" w:rsidTr="001055B7">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PTA</w:t>
            </w:r>
          </w:p>
        </w:tc>
        <w:tc>
          <w:tcPr>
            <w:tcW w:w="2058" w:type="pct"/>
            <w:tcBorders>
              <w:top w:val="nil"/>
              <w:left w:val="nil"/>
              <w:bottom w:val="single" w:sz="4" w:space="0" w:color="auto"/>
              <w:right w:val="single" w:sz="4" w:space="0" w:color="auto"/>
            </w:tcBorders>
            <w:noWrap/>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单边持仓量＜50万</w:t>
            </w:r>
          </w:p>
        </w:tc>
        <w:tc>
          <w:tcPr>
            <w:tcW w:w="2177" w:type="pct"/>
            <w:tcBorders>
              <w:top w:val="nil"/>
              <w:left w:val="nil"/>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50000</w:t>
            </w:r>
          </w:p>
        </w:tc>
      </w:tr>
      <w:tr w:rsidR="00060455" w:rsidRPr="002A79B1" w:rsidTr="001055B7">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060455" w:rsidRPr="002A79B1" w:rsidRDefault="00060455" w:rsidP="001055B7">
            <w:pPr>
              <w:widowControl/>
              <w:jc w:val="left"/>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单边持仓量≥50万</w:t>
            </w:r>
          </w:p>
        </w:tc>
        <w:tc>
          <w:tcPr>
            <w:tcW w:w="2177" w:type="pct"/>
            <w:tcBorders>
              <w:top w:val="nil"/>
              <w:left w:val="nil"/>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单边持仓量×10%</w:t>
            </w:r>
          </w:p>
        </w:tc>
      </w:tr>
      <w:tr w:rsidR="00060455" w:rsidRPr="002A79B1" w:rsidTr="001055B7">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lastRenderedPageBreak/>
              <w:t>菜油</w:t>
            </w:r>
          </w:p>
        </w:tc>
        <w:tc>
          <w:tcPr>
            <w:tcW w:w="2058" w:type="pct"/>
            <w:tcBorders>
              <w:top w:val="nil"/>
              <w:left w:val="nil"/>
              <w:bottom w:val="single" w:sz="4" w:space="0" w:color="auto"/>
              <w:right w:val="single" w:sz="4" w:space="0" w:color="auto"/>
            </w:tcBorders>
            <w:noWrap/>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单边持仓量＜10万</w:t>
            </w:r>
          </w:p>
        </w:tc>
        <w:tc>
          <w:tcPr>
            <w:tcW w:w="2177" w:type="pct"/>
            <w:tcBorders>
              <w:top w:val="nil"/>
              <w:left w:val="nil"/>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10000</w:t>
            </w:r>
          </w:p>
        </w:tc>
      </w:tr>
      <w:tr w:rsidR="00060455" w:rsidRPr="002A79B1" w:rsidTr="001055B7">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060455" w:rsidRPr="002A79B1" w:rsidRDefault="00060455" w:rsidP="001055B7">
            <w:pPr>
              <w:widowControl/>
              <w:jc w:val="left"/>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单边持仓量≥10万</w:t>
            </w:r>
          </w:p>
        </w:tc>
        <w:tc>
          <w:tcPr>
            <w:tcW w:w="2177" w:type="pct"/>
            <w:tcBorders>
              <w:top w:val="nil"/>
              <w:left w:val="nil"/>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单边持仓量×10%</w:t>
            </w:r>
          </w:p>
        </w:tc>
      </w:tr>
      <w:tr w:rsidR="00060455" w:rsidRPr="002A79B1" w:rsidTr="001055B7">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甲醇</w:t>
            </w:r>
          </w:p>
        </w:tc>
        <w:tc>
          <w:tcPr>
            <w:tcW w:w="2058" w:type="pct"/>
            <w:tcBorders>
              <w:top w:val="nil"/>
              <w:left w:val="nil"/>
              <w:bottom w:val="single" w:sz="4" w:space="0" w:color="auto"/>
              <w:right w:val="single" w:sz="4" w:space="0" w:color="auto"/>
            </w:tcBorders>
            <w:noWrap/>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单边持仓量＜30万</w:t>
            </w:r>
          </w:p>
        </w:tc>
        <w:tc>
          <w:tcPr>
            <w:tcW w:w="2177" w:type="pct"/>
            <w:tcBorders>
              <w:top w:val="nil"/>
              <w:left w:val="nil"/>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30000</w:t>
            </w:r>
          </w:p>
        </w:tc>
      </w:tr>
      <w:tr w:rsidR="00060455" w:rsidRPr="002A79B1" w:rsidTr="001055B7">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060455" w:rsidRPr="002A79B1" w:rsidRDefault="00060455" w:rsidP="001055B7">
            <w:pPr>
              <w:widowControl/>
              <w:jc w:val="left"/>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单边持仓量≥30万</w:t>
            </w:r>
          </w:p>
        </w:tc>
        <w:tc>
          <w:tcPr>
            <w:tcW w:w="2177" w:type="pct"/>
            <w:tcBorders>
              <w:top w:val="nil"/>
              <w:left w:val="nil"/>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单边持仓量×10%</w:t>
            </w:r>
          </w:p>
        </w:tc>
      </w:tr>
      <w:tr w:rsidR="00060455" w:rsidRPr="002A79B1" w:rsidTr="001055B7">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玻璃</w:t>
            </w:r>
          </w:p>
        </w:tc>
        <w:tc>
          <w:tcPr>
            <w:tcW w:w="2058" w:type="pct"/>
            <w:tcBorders>
              <w:top w:val="nil"/>
              <w:left w:val="nil"/>
              <w:bottom w:val="single" w:sz="4" w:space="0" w:color="auto"/>
              <w:right w:val="single" w:sz="4" w:space="0" w:color="auto"/>
            </w:tcBorders>
            <w:noWrap/>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单边持仓量＜20万</w:t>
            </w:r>
          </w:p>
        </w:tc>
        <w:tc>
          <w:tcPr>
            <w:tcW w:w="2177" w:type="pct"/>
            <w:tcBorders>
              <w:top w:val="nil"/>
              <w:left w:val="nil"/>
              <w:bottom w:val="single" w:sz="4" w:space="0" w:color="auto"/>
              <w:right w:val="single" w:sz="4" w:space="0" w:color="auto"/>
            </w:tcBorders>
            <w:noWrap/>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20000</w:t>
            </w:r>
          </w:p>
        </w:tc>
      </w:tr>
      <w:tr w:rsidR="00060455" w:rsidRPr="002A79B1" w:rsidTr="001055B7">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060455" w:rsidRPr="002A79B1" w:rsidRDefault="00060455" w:rsidP="001055B7">
            <w:pPr>
              <w:widowControl/>
              <w:jc w:val="left"/>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单边持仓量≥20万</w:t>
            </w:r>
          </w:p>
        </w:tc>
        <w:tc>
          <w:tcPr>
            <w:tcW w:w="2177" w:type="pct"/>
            <w:tcBorders>
              <w:top w:val="nil"/>
              <w:left w:val="nil"/>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单边持仓量×10%</w:t>
            </w:r>
          </w:p>
        </w:tc>
      </w:tr>
      <w:tr w:rsidR="00060455" w:rsidRPr="002A79B1" w:rsidTr="001055B7">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菜粕</w:t>
            </w:r>
          </w:p>
        </w:tc>
        <w:tc>
          <w:tcPr>
            <w:tcW w:w="2058" w:type="pct"/>
            <w:tcBorders>
              <w:top w:val="nil"/>
              <w:left w:val="nil"/>
              <w:bottom w:val="single" w:sz="4" w:space="0" w:color="auto"/>
              <w:right w:val="single" w:sz="4" w:space="0" w:color="auto"/>
            </w:tcBorders>
            <w:noWrap/>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单边持仓量＜20万</w:t>
            </w:r>
          </w:p>
        </w:tc>
        <w:tc>
          <w:tcPr>
            <w:tcW w:w="2177" w:type="pct"/>
            <w:tcBorders>
              <w:top w:val="nil"/>
              <w:left w:val="nil"/>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20000</w:t>
            </w:r>
          </w:p>
        </w:tc>
      </w:tr>
      <w:tr w:rsidR="00060455" w:rsidRPr="002A79B1" w:rsidTr="001055B7">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060455" w:rsidRPr="002A79B1" w:rsidRDefault="00060455" w:rsidP="001055B7">
            <w:pPr>
              <w:widowControl/>
              <w:jc w:val="left"/>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单边持仓量≥20万</w:t>
            </w:r>
          </w:p>
        </w:tc>
        <w:tc>
          <w:tcPr>
            <w:tcW w:w="2177" w:type="pct"/>
            <w:tcBorders>
              <w:top w:val="nil"/>
              <w:left w:val="nil"/>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单边持仓量×10%</w:t>
            </w:r>
          </w:p>
        </w:tc>
      </w:tr>
      <w:tr w:rsidR="00060455" w:rsidRPr="002A79B1" w:rsidTr="001055B7">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动力煤</w:t>
            </w:r>
          </w:p>
        </w:tc>
        <w:tc>
          <w:tcPr>
            <w:tcW w:w="2058" w:type="pct"/>
            <w:tcBorders>
              <w:top w:val="nil"/>
              <w:left w:val="nil"/>
              <w:bottom w:val="single" w:sz="4" w:space="0" w:color="auto"/>
              <w:right w:val="single" w:sz="4" w:space="0" w:color="auto"/>
            </w:tcBorders>
            <w:noWrap/>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单边持仓量＜60万</w:t>
            </w:r>
          </w:p>
        </w:tc>
        <w:tc>
          <w:tcPr>
            <w:tcW w:w="2177" w:type="pct"/>
            <w:tcBorders>
              <w:top w:val="nil"/>
              <w:left w:val="nil"/>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60000</w:t>
            </w:r>
          </w:p>
        </w:tc>
      </w:tr>
      <w:tr w:rsidR="00060455" w:rsidRPr="002A79B1" w:rsidTr="001055B7">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060455" w:rsidRPr="002A79B1" w:rsidRDefault="00060455" w:rsidP="001055B7">
            <w:pPr>
              <w:widowControl/>
              <w:jc w:val="left"/>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单边持仓量≥60万</w:t>
            </w:r>
          </w:p>
        </w:tc>
        <w:tc>
          <w:tcPr>
            <w:tcW w:w="2177" w:type="pct"/>
            <w:tcBorders>
              <w:top w:val="nil"/>
              <w:left w:val="nil"/>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单边持仓量×10%</w:t>
            </w:r>
          </w:p>
        </w:tc>
      </w:tr>
      <w:tr w:rsidR="00060455" w:rsidRPr="002A79B1" w:rsidTr="001055B7">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尿素</w:t>
            </w:r>
          </w:p>
        </w:tc>
        <w:tc>
          <w:tcPr>
            <w:tcW w:w="2058" w:type="pct"/>
            <w:tcBorders>
              <w:top w:val="nil"/>
              <w:left w:val="nil"/>
              <w:bottom w:val="single" w:sz="4" w:space="0" w:color="auto"/>
              <w:right w:val="single" w:sz="4" w:space="0" w:color="auto"/>
            </w:tcBorders>
            <w:noWrap/>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单边持仓量＜10万</w:t>
            </w:r>
          </w:p>
        </w:tc>
        <w:tc>
          <w:tcPr>
            <w:tcW w:w="2177" w:type="pct"/>
            <w:tcBorders>
              <w:top w:val="nil"/>
              <w:left w:val="nil"/>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10000</w:t>
            </w:r>
          </w:p>
        </w:tc>
      </w:tr>
      <w:tr w:rsidR="00060455" w:rsidRPr="002A79B1" w:rsidTr="001055B7">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060455" w:rsidRPr="002A79B1" w:rsidRDefault="00060455" w:rsidP="001055B7">
            <w:pPr>
              <w:widowControl/>
              <w:jc w:val="left"/>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单边持仓量≥10万</w:t>
            </w:r>
          </w:p>
        </w:tc>
        <w:tc>
          <w:tcPr>
            <w:tcW w:w="2177" w:type="pct"/>
            <w:tcBorders>
              <w:top w:val="nil"/>
              <w:left w:val="nil"/>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单边持仓量×10%</w:t>
            </w:r>
          </w:p>
        </w:tc>
      </w:tr>
      <w:tr w:rsidR="00060455" w:rsidRPr="002A79B1" w:rsidTr="001055B7">
        <w:trPr>
          <w:trHeight w:val="285"/>
          <w:jc w:val="center"/>
        </w:trPr>
        <w:tc>
          <w:tcPr>
            <w:tcW w:w="0" w:type="auto"/>
            <w:vMerge w:val="restart"/>
            <w:tcBorders>
              <w:top w:val="nil"/>
              <w:left w:val="single" w:sz="4" w:space="0" w:color="auto"/>
              <w:bottom w:val="single" w:sz="4" w:space="0" w:color="000000"/>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纯碱</w:t>
            </w:r>
          </w:p>
        </w:tc>
        <w:tc>
          <w:tcPr>
            <w:tcW w:w="2058" w:type="pct"/>
            <w:tcBorders>
              <w:top w:val="nil"/>
              <w:left w:val="nil"/>
              <w:bottom w:val="single" w:sz="4" w:space="0" w:color="auto"/>
              <w:right w:val="single" w:sz="4" w:space="0" w:color="auto"/>
            </w:tcBorders>
            <w:noWrap/>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单边持仓量＜20万</w:t>
            </w:r>
          </w:p>
        </w:tc>
        <w:tc>
          <w:tcPr>
            <w:tcW w:w="2177" w:type="pct"/>
            <w:tcBorders>
              <w:top w:val="nil"/>
              <w:left w:val="nil"/>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20000</w:t>
            </w:r>
          </w:p>
        </w:tc>
      </w:tr>
      <w:tr w:rsidR="00060455" w:rsidRPr="002A79B1" w:rsidTr="001055B7">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060455" w:rsidRPr="002A79B1" w:rsidRDefault="00060455" w:rsidP="001055B7">
            <w:pPr>
              <w:widowControl/>
              <w:jc w:val="left"/>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单边持仓量≥20万</w:t>
            </w:r>
          </w:p>
        </w:tc>
        <w:tc>
          <w:tcPr>
            <w:tcW w:w="2177" w:type="pct"/>
            <w:tcBorders>
              <w:top w:val="nil"/>
              <w:left w:val="nil"/>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单边持仓量×10%</w:t>
            </w:r>
          </w:p>
        </w:tc>
      </w:tr>
    </w:tbl>
    <w:p w:rsidR="00060455" w:rsidRPr="002A79B1" w:rsidRDefault="00060455" w:rsidP="00060455">
      <w:pPr>
        <w:rPr>
          <w:vanish/>
        </w:rPr>
      </w:pPr>
    </w:p>
    <w:p w:rsidR="00060455" w:rsidRPr="002A79B1" w:rsidRDefault="00060455" w:rsidP="00060455">
      <w:pPr>
        <w:snapToGrid w:val="0"/>
        <w:spacing w:line="520" w:lineRule="exact"/>
        <w:rPr>
          <w:rFonts w:ascii="宋体" w:hAnsi="宋体" w:cs="楷体_GB2312"/>
          <w:kern w:val="0"/>
          <w:szCs w:val="21"/>
        </w:rPr>
      </w:pPr>
      <w:r w:rsidRPr="002A79B1">
        <w:rPr>
          <w:rFonts w:ascii="宋体" w:hAnsi="宋体" w:cs="楷体_GB2312" w:hint="eastAsia"/>
          <w:kern w:val="0"/>
          <w:szCs w:val="21"/>
        </w:rPr>
        <w:t>注：单位，手。</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普麦、强麦、早籼稻、菜籽、粳稻、晚籼稻、硅铁、锰硅、棉纱和苹果期货合约自合约挂牌至交割月前一个月第15个日历日期间的交易日限仓标准见下表：</w:t>
      </w:r>
    </w:p>
    <w:tbl>
      <w:tblPr>
        <w:tblW w:w="5000" w:type="pct"/>
        <w:jc w:val="center"/>
        <w:tblLook w:val="04A0"/>
      </w:tblPr>
      <w:tblGrid>
        <w:gridCol w:w="3363"/>
        <w:gridCol w:w="5165"/>
      </w:tblGrid>
      <w:tr w:rsidR="00060455" w:rsidRPr="002A79B1" w:rsidTr="001055B7">
        <w:trPr>
          <w:trHeight w:val="285"/>
          <w:jc w:val="center"/>
        </w:trPr>
        <w:tc>
          <w:tcPr>
            <w:tcW w:w="1972"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宋体"/>
                <w:kern w:val="0"/>
                <w:sz w:val="24"/>
              </w:rPr>
            </w:pPr>
            <w:r w:rsidRPr="002A79B1">
              <w:rPr>
                <w:rFonts w:ascii="宋体" w:hAnsi="宋体" w:cs="楷体_GB2312" w:hint="eastAsia"/>
                <w:kern w:val="0"/>
                <w:sz w:val="24"/>
              </w:rPr>
              <w:t>品  种</w:t>
            </w:r>
          </w:p>
        </w:tc>
        <w:tc>
          <w:tcPr>
            <w:tcW w:w="3028" w:type="pct"/>
            <w:tcBorders>
              <w:top w:val="single" w:sz="4" w:space="0" w:color="auto"/>
              <w:left w:val="nil"/>
              <w:bottom w:val="single" w:sz="4" w:space="0" w:color="auto"/>
              <w:right w:val="single" w:sz="4" w:space="0" w:color="auto"/>
            </w:tcBorders>
            <w:noWrap/>
            <w:vAlign w:val="center"/>
            <w:hideMark/>
          </w:tcPr>
          <w:p w:rsidR="00060455" w:rsidRPr="002A79B1" w:rsidRDefault="00060455" w:rsidP="001055B7">
            <w:pPr>
              <w:widowControl/>
              <w:jc w:val="center"/>
              <w:rPr>
                <w:rFonts w:ascii="宋体" w:hAnsi="宋体" w:cs="宋体"/>
                <w:kern w:val="0"/>
                <w:sz w:val="22"/>
              </w:rPr>
            </w:pPr>
            <w:r w:rsidRPr="002A79B1">
              <w:rPr>
                <w:rFonts w:ascii="宋体" w:hAnsi="宋体" w:cs="楷体_GB2312" w:hint="eastAsia"/>
                <w:kern w:val="0"/>
                <w:sz w:val="24"/>
              </w:rPr>
              <w:t>非期货公司会员及客户最大单边持仓（手）</w:t>
            </w:r>
          </w:p>
        </w:tc>
      </w:tr>
      <w:tr w:rsidR="00060455" w:rsidRPr="002A79B1" w:rsidTr="001055B7">
        <w:trPr>
          <w:trHeight w:val="285"/>
          <w:jc w:val="center"/>
        </w:trPr>
        <w:tc>
          <w:tcPr>
            <w:tcW w:w="1972" w:type="pct"/>
            <w:tcBorders>
              <w:top w:val="nil"/>
              <w:left w:val="single" w:sz="4" w:space="0" w:color="auto"/>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普麦</w:t>
            </w:r>
          </w:p>
        </w:tc>
        <w:tc>
          <w:tcPr>
            <w:tcW w:w="3028" w:type="pct"/>
            <w:tcBorders>
              <w:top w:val="nil"/>
              <w:left w:val="nil"/>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2000</w:t>
            </w:r>
          </w:p>
        </w:tc>
      </w:tr>
      <w:tr w:rsidR="00060455" w:rsidRPr="002A79B1" w:rsidTr="001055B7">
        <w:trPr>
          <w:trHeight w:val="285"/>
          <w:jc w:val="center"/>
        </w:trPr>
        <w:tc>
          <w:tcPr>
            <w:tcW w:w="1972" w:type="pct"/>
            <w:tcBorders>
              <w:top w:val="nil"/>
              <w:left w:val="single" w:sz="4" w:space="0" w:color="auto"/>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强麦</w:t>
            </w:r>
          </w:p>
        </w:tc>
        <w:tc>
          <w:tcPr>
            <w:tcW w:w="3028" w:type="pct"/>
            <w:tcBorders>
              <w:top w:val="nil"/>
              <w:left w:val="nil"/>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1000</w:t>
            </w:r>
          </w:p>
        </w:tc>
      </w:tr>
      <w:tr w:rsidR="00060455" w:rsidRPr="002A79B1" w:rsidTr="001055B7">
        <w:trPr>
          <w:trHeight w:val="285"/>
          <w:jc w:val="center"/>
        </w:trPr>
        <w:tc>
          <w:tcPr>
            <w:tcW w:w="1972" w:type="pct"/>
            <w:tcBorders>
              <w:top w:val="nil"/>
              <w:left w:val="single" w:sz="4" w:space="0" w:color="auto"/>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早籼稻</w:t>
            </w:r>
          </w:p>
        </w:tc>
        <w:tc>
          <w:tcPr>
            <w:tcW w:w="3028" w:type="pct"/>
            <w:tcBorders>
              <w:top w:val="nil"/>
              <w:left w:val="nil"/>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7500</w:t>
            </w:r>
          </w:p>
        </w:tc>
      </w:tr>
      <w:tr w:rsidR="00060455" w:rsidRPr="002A79B1" w:rsidTr="001055B7">
        <w:trPr>
          <w:trHeight w:val="285"/>
          <w:jc w:val="center"/>
        </w:trPr>
        <w:tc>
          <w:tcPr>
            <w:tcW w:w="1972" w:type="pct"/>
            <w:tcBorders>
              <w:top w:val="nil"/>
              <w:left w:val="single" w:sz="4" w:space="0" w:color="auto"/>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菜籽</w:t>
            </w:r>
          </w:p>
        </w:tc>
        <w:tc>
          <w:tcPr>
            <w:tcW w:w="3028" w:type="pct"/>
            <w:tcBorders>
              <w:top w:val="nil"/>
              <w:left w:val="nil"/>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10000</w:t>
            </w:r>
          </w:p>
        </w:tc>
      </w:tr>
      <w:tr w:rsidR="00060455" w:rsidRPr="002A79B1" w:rsidTr="001055B7">
        <w:trPr>
          <w:trHeight w:val="285"/>
          <w:jc w:val="center"/>
        </w:trPr>
        <w:tc>
          <w:tcPr>
            <w:tcW w:w="1972" w:type="pct"/>
            <w:tcBorders>
              <w:top w:val="nil"/>
              <w:left w:val="single" w:sz="4" w:space="0" w:color="auto"/>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粳稻</w:t>
            </w:r>
          </w:p>
        </w:tc>
        <w:tc>
          <w:tcPr>
            <w:tcW w:w="3028" w:type="pct"/>
            <w:tcBorders>
              <w:top w:val="nil"/>
              <w:left w:val="nil"/>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20000</w:t>
            </w:r>
          </w:p>
        </w:tc>
      </w:tr>
      <w:tr w:rsidR="00060455" w:rsidRPr="002A79B1" w:rsidTr="001055B7">
        <w:trPr>
          <w:trHeight w:val="285"/>
          <w:jc w:val="center"/>
        </w:trPr>
        <w:tc>
          <w:tcPr>
            <w:tcW w:w="1972" w:type="pct"/>
            <w:tcBorders>
              <w:top w:val="nil"/>
              <w:left w:val="single" w:sz="4" w:space="0" w:color="auto"/>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晚籼稻</w:t>
            </w:r>
          </w:p>
        </w:tc>
        <w:tc>
          <w:tcPr>
            <w:tcW w:w="3028" w:type="pct"/>
            <w:tcBorders>
              <w:top w:val="nil"/>
              <w:left w:val="nil"/>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20000</w:t>
            </w:r>
          </w:p>
        </w:tc>
      </w:tr>
      <w:tr w:rsidR="00060455" w:rsidRPr="002A79B1" w:rsidTr="001055B7">
        <w:trPr>
          <w:trHeight w:val="285"/>
          <w:jc w:val="center"/>
        </w:trPr>
        <w:tc>
          <w:tcPr>
            <w:tcW w:w="1972" w:type="pct"/>
            <w:tcBorders>
              <w:top w:val="nil"/>
              <w:left w:val="single" w:sz="4" w:space="0" w:color="auto"/>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硅铁</w:t>
            </w:r>
          </w:p>
        </w:tc>
        <w:tc>
          <w:tcPr>
            <w:tcW w:w="3028" w:type="pct"/>
            <w:tcBorders>
              <w:top w:val="nil"/>
              <w:left w:val="nil"/>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8000</w:t>
            </w:r>
          </w:p>
        </w:tc>
      </w:tr>
      <w:tr w:rsidR="00060455" w:rsidRPr="002A79B1" w:rsidTr="001055B7">
        <w:trPr>
          <w:trHeight w:val="285"/>
          <w:jc w:val="center"/>
        </w:trPr>
        <w:tc>
          <w:tcPr>
            <w:tcW w:w="1972" w:type="pct"/>
            <w:tcBorders>
              <w:top w:val="nil"/>
              <w:left w:val="single" w:sz="4" w:space="0" w:color="auto"/>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锰硅</w:t>
            </w:r>
          </w:p>
        </w:tc>
        <w:tc>
          <w:tcPr>
            <w:tcW w:w="3028" w:type="pct"/>
            <w:tcBorders>
              <w:top w:val="nil"/>
              <w:left w:val="nil"/>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30000</w:t>
            </w:r>
          </w:p>
        </w:tc>
      </w:tr>
      <w:tr w:rsidR="00060455" w:rsidRPr="002A79B1" w:rsidTr="001055B7">
        <w:trPr>
          <w:trHeight w:val="285"/>
          <w:jc w:val="center"/>
        </w:trPr>
        <w:tc>
          <w:tcPr>
            <w:tcW w:w="1972" w:type="pct"/>
            <w:tcBorders>
              <w:top w:val="nil"/>
              <w:left w:val="single" w:sz="4" w:space="0" w:color="auto"/>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棉纱</w:t>
            </w:r>
          </w:p>
        </w:tc>
        <w:tc>
          <w:tcPr>
            <w:tcW w:w="3028" w:type="pct"/>
            <w:tcBorders>
              <w:top w:val="nil"/>
              <w:left w:val="nil"/>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5000</w:t>
            </w:r>
          </w:p>
        </w:tc>
      </w:tr>
      <w:tr w:rsidR="00060455" w:rsidRPr="002A79B1" w:rsidTr="001055B7">
        <w:trPr>
          <w:trHeight w:val="285"/>
          <w:jc w:val="center"/>
        </w:trPr>
        <w:tc>
          <w:tcPr>
            <w:tcW w:w="1972"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苹果</w:t>
            </w:r>
          </w:p>
        </w:tc>
        <w:tc>
          <w:tcPr>
            <w:tcW w:w="3028" w:type="pct"/>
            <w:tcBorders>
              <w:top w:val="single" w:sz="4" w:space="0" w:color="auto"/>
              <w:left w:val="nil"/>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500</w:t>
            </w:r>
          </w:p>
        </w:tc>
      </w:tr>
    </w:tbl>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红枣期货合约自合约挂牌至交割月前一个月第15个日历日期间的交易日限仓标准见下表：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3402"/>
        <w:gridCol w:w="3339"/>
      </w:tblGrid>
      <w:tr w:rsidR="00060455" w:rsidRPr="002A79B1" w:rsidTr="001055B7">
        <w:trPr>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品种</w:t>
            </w:r>
          </w:p>
        </w:tc>
        <w:tc>
          <w:tcPr>
            <w:tcW w:w="6741" w:type="dxa"/>
            <w:gridSpan w:val="2"/>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非期货公司会员及客户最大单边持仓（手）</w:t>
            </w:r>
          </w:p>
        </w:tc>
      </w:tr>
      <w:tr w:rsidR="00060455" w:rsidRPr="002A79B1" w:rsidTr="001055B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widowControl/>
              <w:jc w:val="left"/>
              <w:rPr>
                <w:rFonts w:ascii="宋体" w:hAnsi="宋体" w:cs="楷体_GB2312"/>
                <w:kern w:val="0"/>
                <w:sz w:val="24"/>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自挂牌至交割月前二个月最后一个日历日期间的交易日</w:t>
            </w:r>
          </w:p>
        </w:tc>
        <w:tc>
          <w:tcPr>
            <w:tcW w:w="3339" w:type="dxa"/>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自交割月前一个月第一个日历日至交割月前一个月第15个日历日期间的交易日</w:t>
            </w:r>
          </w:p>
        </w:tc>
      </w:tr>
      <w:tr w:rsidR="00060455" w:rsidRPr="002A79B1" w:rsidTr="001055B7">
        <w:trP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红枣</w:t>
            </w:r>
          </w:p>
        </w:tc>
        <w:tc>
          <w:tcPr>
            <w:tcW w:w="3402" w:type="dxa"/>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300</w:t>
            </w:r>
          </w:p>
        </w:tc>
        <w:tc>
          <w:tcPr>
            <w:tcW w:w="3339" w:type="dxa"/>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60</w:t>
            </w:r>
          </w:p>
        </w:tc>
      </w:tr>
    </w:tbl>
    <w:p w:rsidR="00060455" w:rsidRPr="002A79B1" w:rsidRDefault="00060455" w:rsidP="00060455">
      <w:pPr>
        <w:widowControl/>
        <w:spacing w:line="360" w:lineRule="auto"/>
        <w:ind w:firstLineChars="200" w:firstLine="560"/>
        <w:outlineLvl w:val="3"/>
        <w:rPr>
          <w:rFonts w:ascii="宋体" w:hAnsi="宋体" w:cs="宋体"/>
          <w:kern w:val="0"/>
          <w:sz w:val="28"/>
          <w:szCs w:val="28"/>
        </w:rPr>
      </w:pP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各品种期货合约自交割月前一个月第16个日历日至交割月限仓标准见下表：</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809"/>
        <w:gridCol w:w="3265"/>
        <w:gridCol w:w="3454"/>
      </w:tblGrid>
      <w:tr w:rsidR="00060455" w:rsidRPr="002A79B1" w:rsidTr="001055B7">
        <w:trPr>
          <w:trHeight w:val="285"/>
        </w:trPr>
        <w:tc>
          <w:tcPr>
            <w:tcW w:w="1061" w:type="pct"/>
            <w:vMerge w:val="restar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品  种</w:t>
            </w:r>
          </w:p>
        </w:tc>
        <w:tc>
          <w:tcPr>
            <w:tcW w:w="3939" w:type="pct"/>
            <w:gridSpan w:val="2"/>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非期货公司会员及客户最大单边持仓（手）</w:t>
            </w:r>
          </w:p>
        </w:tc>
      </w:tr>
      <w:tr w:rsidR="00060455" w:rsidRPr="002A79B1" w:rsidTr="001055B7">
        <w:trPr>
          <w:trHeight w:val="936"/>
        </w:trPr>
        <w:tc>
          <w:tcPr>
            <w:tcW w:w="0" w:type="auto"/>
            <w:vMerge/>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left"/>
              <w:rPr>
                <w:rFonts w:ascii="宋体" w:hAnsi="宋体" w:cs="楷体_GB2312"/>
                <w:kern w:val="0"/>
                <w:sz w:val="24"/>
              </w:rPr>
            </w:pPr>
          </w:p>
        </w:tc>
        <w:tc>
          <w:tcPr>
            <w:tcW w:w="1914"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交割月前一个月第16个日历日至交割月前一个月最后一个日历日期间的交易日</w:t>
            </w:r>
          </w:p>
        </w:tc>
        <w:tc>
          <w:tcPr>
            <w:tcW w:w="2025" w:type="pct"/>
            <w:tcBorders>
              <w:top w:val="single" w:sz="8" w:space="0" w:color="auto"/>
              <w:left w:val="single" w:sz="8" w:space="0" w:color="auto"/>
              <w:bottom w:val="single" w:sz="8" w:space="0" w:color="auto"/>
              <w:right w:val="single" w:sz="8" w:space="0" w:color="auto"/>
            </w:tcBorders>
            <w:noWrap/>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交割月份</w:t>
            </w:r>
          </w:p>
          <w:p w:rsidR="00060455" w:rsidRPr="002A79B1" w:rsidRDefault="00060455" w:rsidP="001055B7">
            <w:pPr>
              <w:jc w:val="center"/>
              <w:rPr>
                <w:rFonts w:ascii="宋体" w:hAnsi="宋体" w:cs="楷体_GB2312"/>
                <w:kern w:val="0"/>
                <w:sz w:val="24"/>
              </w:rPr>
            </w:pPr>
            <w:r w:rsidRPr="002A79B1">
              <w:rPr>
                <w:rFonts w:ascii="宋体" w:hAnsi="宋体" w:cs="楷体_GB2312" w:hint="eastAsia"/>
                <w:kern w:val="0"/>
                <w:sz w:val="24"/>
              </w:rPr>
              <w:t>（自然人客户限仓为0）</w:t>
            </w:r>
          </w:p>
        </w:tc>
      </w:tr>
      <w:tr w:rsidR="00060455" w:rsidRPr="002A79B1" w:rsidTr="001055B7">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普麦</w:t>
            </w:r>
          </w:p>
        </w:tc>
        <w:tc>
          <w:tcPr>
            <w:tcW w:w="1914"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600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200</w:t>
            </w:r>
          </w:p>
        </w:tc>
      </w:tr>
      <w:tr w:rsidR="00060455" w:rsidRPr="002A79B1" w:rsidTr="001055B7">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强麦</w:t>
            </w:r>
          </w:p>
        </w:tc>
        <w:tc>
          <w:tcPr>
            <w:tcW w:w="1914"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300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100</w:t>
            </w:r>
          </w:p>
        </w:tc>
      </w:tr>
      <w:tr w:rsidR="00060455" w:rsidRPr="002A79B1" w:rsidTr="001055B7">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一号棉</w:t>
            </w:r>
          </w:p>
        </w:tc>
        <w:tc>
          <w:tcPr>
            <w:tcW w:w="1914"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4000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800</w:t>
            </w:r>
          </w:p>
        </w:tc>
      </w:tr>
      <w:tr w:rsidR="00060455" w:rsidRPr="002A79B1" w:rsidTr="001055B7">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白糖</w:t>
            </w:r>
          </w:p>
        </w:tc>
        <w:tc>
          <w:tcPr>
            <w:tcW w:w="1914" w:type="pct"/>
            <w:tcBorders>
              <w:top w:val="single" w:sz="8" w:space="0" w:color="auto"/>
              <w:left w:val="single" w:sz="8" w:space="0" w:color="auto"/>
              <w:bottom w:val="single" w:sz="8" w:space="0" w:color="auto"/>
              <w:right w:val="single" w:sz="8" w:space="0" w:color="auto"/>
            </w:tcBorders>
            <w:noWrap/>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6000</w:t>
            </w:r>
          </w:p>
        </w:tc>
        <w:tc>
          <w:tcPr>
            <w:tcW w:w="2025" w:type="pct"/>
            <w:tcBorders>
              <w:top w:val="single" w:sz="8" w:space="0" w:color="auto"/>
              <w:left w:val="single" w:sz="8" w:space="0" w:color="auto"/>
              <w:bottom w:val="single" w:sz="8" w:space="0" w:color="auto"/>
              <w:right w:val="single" w:sz="8" w:space="0" w:color="auto"/>
            </w:tcBorders>
            <w:noWrap/>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1000</w:t>
            </w:r>
          </w:p>
        </w:tc>
      </w:tr>
      <w:tr w:rsidR="00060455" w:rsidRPr="002A79B1" w:rsidTr="001055B7">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PTA</w:t>
            </w:r>
          </w:p>
        </w:tc>
        <w:tc>
          <w:tcPr>
            <w:tcW w:w="1914"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10000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5000</w:t>
            </w:r>
          </w:p>
        </w:tc>
      </w:tr>
      <w:tr w:rsidR="00060455" w:rsidRPr="002A79B1" w:rsidTr="001055B7">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菜油</w:t>
            </w:r>
          </w:p>
        </w:tc>
        <w:tc>
          <w:tcPr>
            <w:tcW w:w="1914"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3000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1000</w:t>
            </w:r>
          </w:p>
        </w:tc>
      </w:tr>
      <w:tr w:rsidR="00060455" w:rsidRPr="002A79B1" w:rsidTr="001055B7">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早籼稻</w:t>
            </w:r>
          </w:p>
        </w:tc>
        <w:tc>
          <w:tcPr>
            <w:tcW w:w="1914"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2000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400</w:t>
            </w:r>
          </w:p>
        </w:tc>
      </w:tr>
      <w:tr w:rsidR="00060455" w:rsidRPr="002A79B1" w:rsidTr="001055B7">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甲醇</w:t>
            </w:r>
          </w:p>
        </w:tc>
        <w:tc>
          <w:tcPr>
            <w:tcW w:w="1914"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3000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1000</w:t>
            </w:r>
          </w:p>
        </w:tc>
      </w:tr>
      <w:tr w:rsidR="00060455" w:rsidRPr="002A79B1" w:rsidTr="001055B7">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玻璃</w:t>
            </w:r>
          </w:p>
        </w:tc>
        <w:tc>
          <w:tcPr>
            <w:tcW w:w="1914" w:type="pct"/>
            <w:tcBorders>
              <w:top w:val="single" w:sz="8" w:space="0" w:color="auto"/>
              <w:left w:val="single" w:sz="8" w:space="0" w:color="auto"/>
              <w:bottom w:val="single" w:sz="8" w:space="0" w:color="auto"/>
              <w:right w:val="single" w:sz="8" w:space="0" w:color="auto"/>
            </w:tcBorders>
            <w:noWrap/>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5000</w:t>
            </w:r>
          </w:p>
        </w:tc>
        <w:tc>
          <w:tcPr>
            <w:tcW w:w="2025" w:type="pct"/>
            <w:tcBorders>
              <w:top w:val="single" w:sz="8" w:space="0" w:color="auto"/>
              <w:left w:val="single" w:sz="8" w:space="0" w:color="auto"/>
              <w:bottom w:val="single" w:sz="8" w:space="0" w:color="auto"/>
              <w:right w:val="single" w:sz="8" w:space="0" w:color="auto"/>
            </w:tcBorders>
            <w:noWrap/>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1000</w:t>
            </w:r>
          </w:p>
        </w:tc>
      </w:tr>
      <w:tr w:rsidR="00060455" w:rsidRPr="002A79B1" w:rsidTr="001055B7">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菜籽</w:t>
            </w:r>
          </w:p>
        </w:tc>
        <w:tc>
          <w:tcPr>
            <w:tcW w:w="1914"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1000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500</w:t>
            </w:r>
          </w:p>
        </w:tc>
      </w:tr>
      <w:tr w:rsidR="00060455" w:rsidRPr="002A79B1" w:rsidTr="001055B7">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菜粕</w:t>
            </w:r>
          </w:p>
        </w:tc>
        <w:tc>
          <w:tcPr>
            <w:tcW w:w="1914"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2000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1000</w:t>
            </w:r>
          </w:p>
        </w:tc>
      </w:tr>
      <w:tr w:rsidR="00060455" w:rsidRPr="002A79B1" w:rsidTr="001055B7">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动力煤</w:t>
            </w:r>
          </w:p>
        </w:tc>
        <w:tc>
          <w:tcPr>
            <w:tcW w:w="1914"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20000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4000</w:t>
            </w:r>
          </w:p>
        </w:tc>
      </w:tr>
      <w:tr w:rsidR="00060455" w:rsidRPr="002A79B1" w:rsidTr="001055B7">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粳稻</w:t>
            </w:r>
          </w:p>
        </w:tc>
        <w:tc>
          <w:tcPr>
            <w:tcW w:w="1914"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3000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500</w:t>
            </w:r>
          </w:p>
        </w:tc>
      </w:tr>
      <w:tr w:rsidR="00060455" w:rsidRPr="002A79B1" w:rsidTr="001055B7">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晚籼稻</w:t>
            </w:r>
          </w:p>
        </w:tc>
        <w:tc>
          <w:tcPr>
            <w:tcW w:w="1914"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3000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500</w:t>
            </w:r>
          </w:p>
        </w:tc>
      </w:tr>
      <w:tr w:rsidR="00060455" w:rsidRPr="002A79B1" w:rsidTr="001055B7">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硅铁</w:t>
            </w:r>
          </w:p>
        </w:tc>
        <w:tc>
          <w:tcPr>
            <w:tcW w:w="1914"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2000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500</w:t>
            </w:r>
          </w:p>
        </w:tc>
      </w:tr>
      <w:tr w:rsidR="00060455" w:rsidRPr="002A79B1" w:rsidTr="001055B7">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锰硅</w:t>
            </w:r>
          </w:p>
        </w:tc>
        <w:tc>
          <w:tcPr>
            <w:tcW w:w="1914"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10000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2000</w:t>
            </w:r>
          </w:p>
        </w:tc>
      </w:tr>
      <w:tr w:rsidR="00060455" w:rsidRPr="002A79B1" w:rsidTr="001055B7">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棉纱</w:t>
            </w:r>
          </w:p>
        </w:tc>
        <w:tc>
          <w:tcPr>
            <w:tcW w:w="1914"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500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100</w:t>
            </w:r>
          </w:p>
        </w:tc>
      </w:tr>
      <w:tr w:rsidR="00060455" w:rsidRPr="002A79B1" w:rsidTr="001055B7">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苹果</w:t>
            </w:r>
          </w:p>
        </w:tc>
        <w:tc>
          <w:tcPr>
            <w:tcW w:w="1914"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snapToGrid w:val="0"/>
              <w:jc w:val="center"/>
              <w:rPr>
                <w:rFonts w:ascii="宋体" w:hAnsi="宋体"/>
                <w:sz w:val="24"/>
              </w:rPr>
            </w:pPr>
            <w:r w:rsidRPr="002A79B1">
              <w:rPr>
                <w:rFonts w:ascii="宋体" w:hAnsi="宋体" w:hint="eastAsia"/>
                <w:sz w:val="24"/>
              </w:rPr>
              <w:t>100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snapToGrid w:val="0"/>
              <w:jc w:val="center"/>
              <w:rPr>
                <w:rFonts w:ascii="宋体" w:hAnsi="宋体"/>
                <w:sz w:val="24"/>
              </w:rPr>
            </w:pPr>
            <w:r w:rsidRPr="002A79B1">
              <w:rPr>
                <w:rFonts w:ascii="宋体" w:hAnsi="宋体" w:hint="eastAsia"/>
                <w:sz w:val="24"/>
              </w:rPr>
              <w:t>10</w:t>
            </w:r>
          </w:p>
        </w:tc>
      </w:tr>
      <w:tr w:rsidR="00060455" w:rsidRPr="002A79B1" w:rsidTr="001055B7">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红枣</w:t>
            </w:r>
          </w:p>
        </w:tc>
        <w:tc>
          <w:tcPr>
            <w:tcW w:w="1914"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snapToGrid w:val="0"/>
              <w:jc w:val="center"/>
              <w:rPr>
                <w:rFonts w:ascii="宋体" w:hAnsi="宋体"/>
                <w:sz w:val="24"/>
              </w:rPr>
            </w:pPr>
            <w:r w:rsidRPr="002A79B1">
              <w:rPr>
                <w:rFonts w:ascii="宋体" w:hAnsi="宋体" w:hint="eastAsia"/>
                <w:sz w:val="24"/>
              </w:rPr>
              <w:t>20</w:t>
            </w:r>
          </w:p>
        </w:tc>
        <w:tc>
          <w:tcPr>
            <w:tcW w:w="2025"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snapToGrid w:val="0"/>
              <w:jc w:val="center"/>
              <w:rPr>
                <w:rFonts w:ascii="宋体" w:hAnsi="宋体"/>
                <w:sz w:val="24"/>
              </w:rPr>
            </w:pPr>
            <w:r w:rsidRPr="002A79B1">
              <w:rPr>
                <w:rFonts w:ascii="宋体" w:hAnsi="宋体" w:hint="eastAsia"/>
                <w:sz w:val="24"/>
              </w:rPr>
              <w:t>6</w:t>
            </w:r>
          </w:p>
        </w:tc>
      </w:tr>
      <w:tr w:rsidR="00060455" w:rsidRPr="002A79B1" w:rsidTr="001055B7">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尿素</w:t>
            </w:r>
          </w:p>
        </w:tc>
        <w:tc>
          <w:tcPr>
            <w:tcW w:w="1914"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snapToGrid w:val="0"/>
              <w:jc w:val="center"/>
              <w:rPr>
                <w:rFonts w:ascii="宋体" w:hAnsi="宋体"/>
                <w:sz w:val="24"/>
              </w:rPr>
            </w:pPr>
            <w:r w:rsidRPr="002A79B1">
              <w:rPr>
                <w:rFonts w:ascii="宋体" w:hAnsi="宋体" w:hint="eastAsia"/>
                <w:sz w:val="24"/>
              </w:rPr>
              <w:t>3000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snapToGrid w:val="0"/>
              <w:jc w:val="center"/>
              <w:rPr>
                <w:rFonts w:ascii="宋体" w:hAnsi="宋体"/>
                <w:sz w:val="24"/>
              </w:rPr>
            </w:pPr>
            <w:r w:rsidRPr="002A79B1">
              <w:rPr>
                <w:rFonts w:ascii="宋体" w:hAnsi="宋体" w:hint="eastAsia"/>
                <w:sz w:val="24"/>
              </w:rPr>
              <w:t>1000</w:t>
            </w:r>
          </w:p>
        </w:tc>
      </w:tr>
      <w:tr w:rsidR="00060455" w:rsidRPr="002A79B1" w:rsidTr="001055B7">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jc w:val="center"/>
              <w:rPr>
                <w:rFonts w:ascii="宋体" w:hAnsi="宋体" w:cs="楷体_GB2312"/>
                <w:kern w:val="0"/>
                <w:sz w:val="24"/>
              </w:rPr>
            </w:pPr>
            <w:r w:rsidRPr="002A79B1">
              <w:rPr>
                <w:rFonts w:ascii="宋体" w:hAnsi="宋体" w:cs="楷体_GB2312" w:hint="eastAsia"/>
                <w:kern w:val="0"/>
                <w:sz w:val="24"/>
              </w:rPr>
              <w:t>纯碱</w:t>
            </w:r>
          </w:p>
        </w:tc>
        <w:tc>
          <w:tcPr>
            <w:tcW w:w="1914"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snapToGrid w:val="0"/>
              <w:jc w:val="center"/>
              <w:rPr>
                <w:rFonts w:ascii="宋体" w:hAnsi="宋体"/>
                <w:sz w:val="24"/>
              </w:rPr>
            </w:pPr>
            <w:r w:rsidRPr="002A79B1">
              <w:rPr>
                <w:rFonts w:ascii="宋体" w:hAnsi="宋体" w:hint="eastAsia"/>
                <w:sz w:val="24"/>
              </w:rPr>
              <w:t>4000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060455" w:rsidRPr="002A79B1" w:rsidRDefault="00060455" w:rsidP="001055B7">
            <w:pPr>
              <w:widowControl/>
              <w:snapToGrid w:val="0"/>
              <w:jc w:val="center"/>
              <w:rPr>
                <w:rFonts w:ascii="宋体" w:hAnsi="宋体"/>
                <w:sz w:val="24"/>
              </w:rPr>
            </w:pPr>
            <w:r w:rsidRPr="002A79B1">
              <w:rPr>
                <w:rFonts w:ascii="宋体" w:hAnsi="宋体" w:hint="eastAsia"/>
                <w:sz w:val="24"/>
              </w:rPr>
              <w:t>800</w:t>
            </w:r>
          </w:p>
        </w:tc>
      </w:tr>
    </w:tbl>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不得交割的客户具体见《郑州商品交易所期货交割细则》相关规定。</w:t>
      </w:r>
    </w:p>
    <w:p w:rsidR="00060455" w:rsidRPr="002A79B1" w:rsidRDefault="00060455" w:rsidP="00060455">
      <w:pPr>
        <w:tabs>
          <w:tab w:val="left" w:pos="1620"/>
          <w:tab w:val="left" w:pos="1800"/>
          <w:tab w:val="left" w:pos="2340"/>
          <w:tab w:val="left" w:pos="5040"/>
        </w:tabs>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第二十七条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交割月前一个月的最后一个交易日收盘前，会员及客户应当将其期货合约持仓调整为最小交割单位的整倍数；自进入交割月起，会员及客户的持仓应当是最小交割单位的整倍数。</w:t>
      </w:r>
    </w:p>
    <w:p w:rsidR="00060455" w:rsidRPr="002A79B1" w:rsidRDefault="00060455" w:rsidP="00060455">
      <w:pPr>
        <w:snapToGrid w:val="0"/>
        <w:spacing w:line="360" w:lineRule="auto"/>
        <w:ind w:firstLineChars="201" w:firstLine="563"/>
        <w:rPr>
          <w:rFonts w:ascii="宋体" w:hAnsi="宋体" w:cs="宋体"/>
          <w:kern w:val="0"/>
          <w:sz w:val="28"/>
          <w:szCs w:val="28"/>
        </w:rPr>
      </w:pPr>
      <w:r w:rsidRPr="002A79B1">
        <w:rPr>
          <w:rFonts w:ascii="宋体" w:eastAsia="黑体" w:hAnsi="宋体" w:cs="宋体" w:hint="eastAsia"/>
          <w:kern w:val="0"/>
          <w:sz w:val="28"/>
          <w:szCs w:val="28"/>
        </w:rPr>
        <w:t>第二十八条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同一客户在不同期货公司会员处开有多个交易编码，各交易编码上所有持仓的合计数，不得超出一个客户的限仓数额。</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黑体" w:eastAsia="黑体" w:hAnsi="宋体" w:cs="黑体" w:hint="eastAsia"/>
          <w:kern w:val="0"/>
          <w:sz w:val="28"/>
          <w:szCs w:val="28"/>
        </w:rPr>
        <w:lastRenderedPageBreak/>
        <w:t xml:space="preserve">第二十九条 </w:t>
      </w:r>
      <w:r w:rsidRPr="002A79B1">
        <w:rPr>
          <w:rFonts w:ascii="宋体" w:hAnsi="宋体" w:cs="宋体" w:hint="eastAsia"/>
          <w:kern w:val="0"/>
          <w:sz w:val="28"/>
          <w:szCs w:val="28"/>
        </w:rPr>
        <w:t>非期货公司会员或者客户的持仓数量不得超过交易所规定的持仓限额。</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非期货公司会员或者客户超过持仓限额的，交易所按照本办法第七章强行平仓制度有关规定进行处理，并可以采取要求提交书面说明、书面警示、约见谈话、限制开仓等措施。</w:t>
      </w:r>
    </w:p>
    <w:p w:rsidR="00060455" w:rsidRPr="002A79B1" w:rsidRDefault="00060455" w:rsidP="00060455">
      <w:pPr>
        <w:widowControl/>
        <w:spacing w:line="360" w:lineRule="auto"/>
        <w:jc w:val="center"/>
        <w:outlineLvl w:val="1"/>
        <w:rPr>
          <w:rFonts w:ascii="宋体" w:eastAsia="黑体" w:hAnsi="宋体" w:cs="宋体"/>
          <w:kern w:val="0"/>
          <w:sz w:val="32"/>
          <w:szCs w:val="28"/>
        </w:rPr>
      </w:pPr>
      <w:bookmarkStart w:id="4" w:name="_Toc392878611"/>
      <w:r w:rsidRPr="002A79B1">
        <w:rPr>
          <w:rFonts w:ascii="宋体" w:eastAsia="黑体" w:hAnsi="宋体" w:cs="宋体" w:hint="eastAsia"/>
          <w:kern w:val="0"/>
          <w:sz w:val="32"/>
          <w:szCs w:val="28"/>
        </w:rPr>
        <w:t>第五章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交易限额制度</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实行交易限额制度。交易限额是指交易所规定会员或者客户对某一合约在某一期限内开仓交易的最大数量。交易所可以根据市场情况，对不同的上市品种、合约，对部分或者全部的会员、客户，制定交易限额，具体标准由交易所另行公布。</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套期保值交易和做市交易的开仓数量不受本条前款限制。</w:t>
      </w:r>
    </w:p>
    <w:p w:rsidR="00060455" w:rsidRPr="002A79B1" w:rsidRDefault="00060455" w:rsidP="00060455">
      <w:pPr>
        <w:snapToGrid w:val="0"/>
        <w:spacing w:line="520" w:lineRule="exact"/>
        <w:ind w:firstLineChars="201" w:firstLine="563"/>
        <w:rPr>
          <w:rFonts w:ascii="宋体" w:hAnsi="宋体" w:cs="宋体"/>
          <w:kern w:val="0"/>
          <w:sz w:val="28"/>
          <w:szCs w:val="28"/>
        </w:rPr>
      </w:pPr>
      <w:r w:rsidRPr="002A79B1">
        <w:rPr>
          <w:rFonts w:ascii="宋体" w:eastAsia="黑体" w:hAnsi="宋体" w:cs="宋体" w:hint="eastAsia"/>
          <w:kern w:val="0"/>
          <w:sz w:val="28"/>
          <w:szCs w:val="28"/>
        </w:rPr>
        <w:t>第三十一条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同一客户在不同期货公司会员处开有多个交易编码，各交易编码上所有开仓交易数量的合计数，不得超过一个客户的交易限额。</w:t>
      </w:r>
    </w:p>
    <w:p w:rsidR="00060455" w:rsidRPr="002A79B1" w:rsidRDefault="00060455" w:rsidP="00060455">
      <w:pPr>
        <w:snapToGrid w:val="0"/>
        <w:spacing w:line="520" w:lineRule="exact"/>
        <w:ind w:firstLineChars="201" w:firstLine="563"/>
        <w:rPr>
          <w:rFonts w:ascii="宋体" w:hAnsi="宋体" w:cs="宋体"/>
          <w:kern w:val="0"/>
          <w:sz w:val="28"/>
          <w:szCs w:val="28"/>
        </w:rPr>
      </w:pPr>
      <w:r w:rsidRPr="002A79B1">
        <w:rPr>
          <w:rFonts w:ascii="宋体" w:eastAsia="黑体" w:hAnsi="宋体" w:cs="宋体" w:hint="eastAsia"/>
          <w:kern w:val="0"/>
          <w:sz w:val="28"/>
          <w:szCs w:val="28"/>
        </w:rPr>
        <w:t>第三十二条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非期货公司会员或者客户的开仓数量不得超过交易所规定的交易限额。对超过交易限额的非期货公司会员或者客户，交易所可以采取电话提示、要求报告情况、要求提交书面承诺、列入重点监管名单、暂停开仓交易等措施。</w:t>
      </w:r>
    </w:p>
    <w:p w:rsidR="00060455" w:rsidRPr="002A79B1" w:rsidRDefault="00060455" w:rsidP="00060455">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第六章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大户报告制度</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期货交易实行大户报告制度。</w:t>
      </w:r>
    </w:p>
    <w:p w:rsidR="00060455" w:rsidRPr="002A79B1" w:rsidRDefault="00060455" w:rsidP="00060455">
      <w:pPr>
        <w:tabs>
          <w:tab w:val="num" w:pos="1215"/>
        </w:tabs>
        <w:snapToGrid w:val="0"/>
        <w:spacing w:line="520" w:lineRule="exact"/>
        <w:ind w:firstLineChars="200" w:firstLine="560"/>
        <w:rPr>
          <w:rFonts w:ascii="宋体" w:hAnsi="宋体" w:cs="宋体"/>
          <w:kern w:val="0"/>
          <w:sz w:val="28"/>
          <w:szCs w:val="28"/>
        </w:rPr>
      </w:pPr>
      <w:r w:rsidRPr="002A79B1">
        <w:rPr>
          <w:rFonts w:ascii="宋体" w:hAnsi="宋体" w:cs="宋体" w:hint="eastAsia"/>
          <w:kern w:val="0"/>
          <w:sz w:val="28"/>
          <w:szCs w:val="28"/>
        </w:rPr>
        <w:t>非期货公司会员或者客户持有某期货合约数量达到交易所对其规定的持仓限量80%以上（含本数）或者交易所要求报告的，应当向交易所报告其资金、持仓等情况。根据市场风险状况，交易所可调整持仓报告水平。客户应当通过期货公司会员报告；委托境外经纪机构</w:t>
      </w:r>
      <w:r w:rsidRPr="002A79B1">
        <w:rPr>
          <w:rFonts w:ascii="宋体" w:hAnsi="宋体" w:cs="宋体" w:hint="eastAsia"/>
          <w:kern w:val="0"/>
          <w:sz w:val="28"/>
          <w:szCs w:val="28"/>
        </w:rPr>
        <w:lastRenderedPageBreak/>
        <w:t>从事期货交易的客户，应当委托其境外经纪机构报告，境外经纪机构再委托期货公司会员报告。</w:t>
      </w:r>
    </w:p>
    <w:p w:rsidR="00060455" w:rsidRPr="002A79B1" w:rsidRDefault="00060455" w:rsidP="00060455">
      <w:pPr>
        <w:widowControl/>
        <w:spacing w:line="520" w:lineRule="exact"/>
        <w:ind w:firstLineChars="200" w:firstLine="560"/>
        <w:outlineLvl w:val="3"/>
        <w:rPr>
          <w:rFonts w:ascii="宋体" w:hAnsi="宋体" w:cs="宋体"/>
          <w:kern w:val="0"/>
          <w:sz w:val="28"/>
          <w:szCs w:val="28"/>
        </w:rPr>
      </w:pPr>
      <w:r w:rsidRPr="002A79B1">
        <w:rPr>
          <w:rFonts w:ascii="宋体" w:hAnsi="宋体" w:cs="宋体" w:hint="eastAsia"/>
          <w:kern w:val="0"/>
          <w:sz w:val="28"/>
          <w:szCs w:val="28"/>
        </w:rPr>
        <w:t>非期货公司会员、客户应当保证所提供的大户持仓报告和其他材料的真实性、准确性和完整性。</w:t>
      </w:r>
    </w:p>
    <w:p w:rsidR="00060455" w:rsidRPr="002A79B1" w:rsidRDefault="00060455" w:rsidP="00060455">
      <w:pPr>
        <w:tabs>
          <w:tab w:val="num" w:pos="1215"/>
        </w:tabs>
        <w:snapToGrid w:val="0"/>
        <w:spacing w:line="520" w:lineRule="exact"/>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第三十四条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交易过程中，非期货公司会员或者客户符合大户报告条件的，应当主动于下一交易日向交易所报告。非期货公司会员或者客户履行首次报告义务后，需再次报告或者补充报告的，交易所通知有关会员。</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符合大户报告条件的非期货公司会员或客户应当向交易所提供下列材料：</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（一）《郑州商品交易所大户报告表》；</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（二）开户资料及当日结算单据；</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（三）交易所要求提供的其他材料。</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期货公司会员、境外经纪机构应当对客户所提供的有关材料进行初审并保证报告材料的真实性和准确性。</w:t>
      </w:r>
    </w:p>
    <w:p w:rsidR="00060455" w:rsidRPr="002A79B1" w:rsidRDefault="00060455" w:rsidP="00060455">
      <w:pPr>
        <w:widowControl/>
        <w:spacing w:line="360" w:lineRule="auto"/>
        <w:jc w:val="center"/>
        <w:outlineLvl w:val="1"/>
        <w:rPr>
          <w:rFonts w:ascii="黑体" w:eastAsia="黑体" w:hAnsi="宋体" w:cs="宋体"/>
          <w:kern w:val="0"/>
          <w:sz w:val="32"/>
          <w:szCs w:val="28"/>
        </w:rPr>
      </w:pPr>
      <w:r>
        <w:rPr>
          <w:rFonts w:ascii="黑体" w:eastAsia="黑体" w:hAnsi="宋体" w:cs="宋体"/>
          <w:noProof/>
          <w:kern w:val="0"/>
          <w:sz w:val="32"/>
          <w:szCs w:val="28"/>
        </w:rPr>
        <w:drawing>
          <wp:inline distT="0" distB="0" distL="0" distR="0">
            <wp:extent cx="33655" cy="33655"/>
            <wp:effectExtent l="0" t="0" r="0" b="0"/>
            <wp:docPr id="1"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6"/>
                    <a:srcRect t="-99944" b="99944"/>
                    <a:stretch>
                      <a:fillRect/>
                    </a:stretch>
                  </pic:blipFill>
                  <pic:spPr bwMode="auto">
                    <a:xfrm>
                      <a:off x="0" y="0"/>
                      <a:ext cx="33655" cy="33655"/>
                    </a:xfrm>
                    <a:prstGeom prst="rect">
                      <a:avLst/>
                    </a:prstGeom>
                    <a:noFill/>
                    <a:ln w="9525">
                      <a:noFill/>
                      <a:miter lim="800000"/>
                      <a:headEnd/>
                      <a:tailEnd/>
                    </a:ln>
                  </pic:spPr>
                </pic:pic>
              </a:graphicData>
            </a:graphic>
          </wp:inline>
        </w:drawing>
      </w:r>
      <w:r w:rsidRPr="002A79B1">
        <w:rPr>
          <w:rFonts w:ascii="宋体" w:eastAsia="黑体" w:hAnsi="宋体" w:cs="宋体" w:hint="eastAsia"/>
          <w:kern w:val="0"/>
          <w:sz w:val="32"/>
          <w:szCs w:val="28"/>
        </w:rPr>
        <w:t>第七章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强行平仓制度</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期货交易实行强行平仓制度。</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强行平仓是指当会员、客户违反交易所相关业务规定时，交易所对其违规持有的相关期货合约持仓予以平仓的强制措施。</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会员或者客户有下列情形之一的，交易所有权进行强行平仓：</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（一）结算准备金余额小于零并未能在规定时间内补足的；</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（二）持仓量超出其限仓规定的；</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（三）进入交割月份的自然人持仓；</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（四）因违规受到交易所强行平仓处罚的；</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（五）根据交易所的紧急措施应予强行平仓的；</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（六）其他应予强行平仓的。</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强行平仓的原则和程序：</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强行平仓先由会员自行实施，除交易所特别规定的时限外，会员未在10时15分之前平仓完毕的，交易所强制执行。</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由会员自行平仓的，属前条第（一）、（二）、（三）项情形的，由会员自行确定，平仓结果符合交易所规定即可；属前条第（四）、（五）、（六）项情形的，由交易所确定。</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由交易所强行平仓的，按以下程序实施：</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（一）交易所按照会员提供的平仓名单进行强行平仓。</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会员没有提供平仓名单，属前条第（一）项的，按照上一交易日闭市后期货合约总持仓量由大到小顺序，先选择持仓量大的期货合约作为强行平仓的期货合约，再按照该会员客户该期货合约的净持仓亏损由大到小确定。多个会员均需要强行平仓的，按追加保证金由大到小的顺序，先强平需要追加保证金大的会员。</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（三）属前条第（二）项的，按照超仓量由大到小的顺序，对非期货公司会员或客户进行强行平仓。</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（四）会员没有提供平仓名单，属前条第（三）项的，按照上一交易日闭市后自然人期货合约持仓由大到小顺序进行强行平仓。</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（五）会员没有提供平仓名单，属前条第（四）、（五）、（六）项的，强行平仓头寸由交易所根据涉及的会员和客户具体情况确定。</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（六）会员同时满足属前条第（一）、（二）、（三）项情况，交易所先按第（二）、（三）项情况确定强行平仓头寸，再按第（一）项情况确定强行平仓头寸。</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由于市场原因无法满足上述原则和程序的，交易所有权择机强行平仓。</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交易所实施强行平仓，应当通知会员，会员应当通知客户。</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属第三十八条第（一）、（二）、（三）项情况的，以交易所提供的结算结果为通知依据；属第三十八条第（四）、（五）、（六）项情况的，交易所向有关会员下达《强行平仓通知书》。</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会员未在规定时间内自行平仓完毕的，剩余部分由交易所按第三十九条所确定的原则以市场价对会员直接执行强行平仓。</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交易所强行平仓完毕后，应当将强行平仓结果随当日成交记录向会员发送，并将强行平仓记录予以存档。</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强行平仓的价格通过市场交易形成。</w:t>
      </w:r>
    </w:p>
    <w:p w:rsidR="00060455" w:rsidRPr="002A79B1" w:rsidRDefault="00060455" w:rsidP="00060455">
      <w:pPr>
        <w:tabs>
          <w:tab w:val="num" w:pos="1215"/>
        </w:tabs>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由于涨跌停板或者其他市场原因无法在当日完成全部强行平仓的，剩余持仓可以顺延至下一交易日继续执行强行平仓，直至平仓完毕。</w:t>
      </w:r>
    </w:p>
    <w:p w:rsidR="00060455" w:rsidRPr="002A79B1" w:rsidRDefault="00060455" w:rsidP="00060455">
      <w:pPr>
        <w:tabs>
          <w:tab w:val="num" w:pos="1215"/>
        </w:tabs>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由于涨跌停板或者其他市场原因有关持仓的强行平仓只能延时完成的，因此发生的亏损仍由会员或者客户承担；未能完</w:t>
      </w:r>
      <w:r w:rsidRPr="002A79B1">
        <w:rPr>
          <w:rFonts w:ascii="宋体" w:hAnsi="宋体" w:cs="宋体" w:hint="eastAsia"/>
          <w:kern w:val="0"/>
          <w:sz w:val="28"/>
          <w:szCs w:val="28"/>
        </w:rPr>
        <w:lastRenderedPageBreak/>
        <w:t>成平仓的，该持仓持有者须继续对此承担持仓责任或者交割义务。</w:t>
      </w:r>
    </w:p>
    <w:p w:rsidR="00060455" w:rsidRPr="002A79B1" w:rsidRDefault="00060455" w:rsidP="00060455">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除第三十八条第（四）项外，强行平仓产生的盈利或者亏损均归持仓人。持仓人是客户的，强行平仓发生的亏损，客户所在会员先行承担后，自行向该客户追偿；持仓人是境外经纪机构客户的，境外经纪机构应辅助其委托交易结算的期货公司会员强行平仓，强行平仓后发生的亏损，由为该境外经纪机构交易结算的期货公司会员先行承担后，自行向该境外经纪机构追索；境外经纪机构承担损失后，自行向该客户追索。</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本办法第三十八条第（四）项实施的强行平仓，亏损由持仓人承担，盈利按国家有关规定执行。</w:t>
      </w:r>
    </w:p>
    <w:p w:rsidR="00060455" w:rsidRPr="002A79B1" w:rsidRDefault="00060455" w:rsidP="00060455">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第八章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风险警示制度</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期货交易实行风险警示制度。</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交易所认为必要时，可以分别或者同时采取要求报告情况、谈话提醒、发布风险提示函等措施，以警示和化解风险。</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出现下列情形之一的，交易所可以对指定的会员、境外经纪机构高管人员或者客户谈话提醒风险，或者要求会员、境外经纪机构、客户报告情况：</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（一）合约价格出现异常波动；</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（二）会员、境外经纪机构或者客户交易异常；</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（三）会员、境外经纪机构或者客户持仓异常；</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（四）会员资金异常；</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（五）会员、境外经纪机构或者客户涉嫌违规、违约；</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（六）交易所接到涉及会员、境外经纪机构或者客户的投诉；</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（七）会员、境外经纪机构涉及执法调查；</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（八）交易所认定的其他情况。</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交易所通过电话提醒的，应当保留电话录音；通过当面谈话的，应当保存谈话记录。</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交易所实施谈话提醒的，会员、境外经纪机构或者客户应当按照交易所要求的时间、地点和方式认真履行。</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交易所要求会员、境外经纪机构或者客户报告情况的，会员、境外经纪机构或者客户应当按照交易所要求的时间、内容和方式如实报告。</w:t>
      </w:r>
    </w:p>
    <w:p w:rsidR="00060455" w:rsidRPr="002A79B1" w:rsidRDefault="00060455" w:rsidP="00060455">
      <w:pPr>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会员、境外经纪机构或者客户有违规嫌疑、交易头寸有较大风险的，交易所可以对会员、境外经纪机构或者客户发出书面的风险提示函。</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发生下列情形之一的，交易所可以向全体或者部分会员、境外经纪机构和客户发出风险提示函：</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（一）期货价格出现异常；</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（二）期货价格和现货价格出现较大差距；</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（三）国内期货价格和国际市场价格出现较大差距；</w:t>
      </w:r>
    </w:p>
    <w:p w:rsidR="00060455" w:rsidRPr="002A79B1" w:rsidRDefault="00060455" w:rsidP="0006045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（四）交易所认定的其他异常情况。</w:t>
      </w:r>
    </w:p>
    <w:p w:rsidR="00060455" w:rsidRPr="002A79B1" w:rsidRDefault="00060455" w:rsidP="00060455">
      <w:pPr>
        <w:widowControl/>
        <w:spacing w:line="360" w:lineRule="auto"/>
        <w:jc w:val="center"/>
        <w:outlineLvl w:val="1"/>
        <w:rPr>
          <w:rFonts w:ascii="宋体" w:eastAsia="黑体" w:hAnsi="宋体" w:cs="宋体"/>
          <w:kern w:val="0"/>
          <w:sz w:val="32"/>
          <w:szCs w:val="28"/>
        </w:rPr>
      </w:pPr>
      <w:bookmarkStart w:id="5" w:name="_Toc392878614"/>
      <w:r w:rsidRPr="002A79B1">
        <w:rPr>
          <w:rFonts w:ascii="宋体" w:eastAsia="黑体" w:hAnsi="宋体" w:cs="宋体" w:hint="eastAsia"/>
          <w:kern w:val="0"/>
          <w:sz w:val="32"/>
          <w:szCs w:val="28"/>
        </w:rPr>
        <w:t>第九章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附则</w:t>
      </w:r>
      <w:bookmarkEnd w:id="5"/>
    </w:p>
    <w:p w:rsidR="00060455" w:rsidRPr="002A79B1" w:rsidRDefault="00060455" w:rsidP="00060455">
      <w:pPr>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违反本办法规定的，交易所按《郑州商品交易所违规处理办法》有关规定处理。</w:t>
      </w:r>
    </w:p>
    <w:p w:rsidR="00060455" w:rsidRPr="002A79B1" w:rsidRDefault="00060455" w:rsidP="00060455">
      <w:pPr>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第五十条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有关夜盘交易相关的风险控制业务，《郑州商品交易所夜盘交易细则》有特殊规定的，从其规定。</w:t>
      </w:r>
    </w:p>
    <w:p w:rsidR="00060455" w:rsidRPr="002A79B1" w:rsidRDefault="00060455" w:rsidP="00060455">
      <w:pPr>
        <w:tabs>
          <w:tab w:val="num" w:pos="1215"/>
          <w:tab w:val="left" w:pos="2310"/>
        </w:tabs>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lastRenderedPageBreak/>
        <w:t>第五十一条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本办法解释权属郑州商品交易所。</w:t>
      </w:r>
    </w:p>
    <w:p w:rsidR="00060455" w:rsidRPr="002A79B1" w:rsidRDefault="00060455" w:rsidP="00060455">
      <w:pPr>
        <w:spacing w:line="360" w:lineRule="auto"/>
        <w:ind w:right="57" w:firstLineChars="200" w:firstLine="560"/>
        <w:rPr>
          <w:rFonts w:ascii="宋体"/>
          <w:sz w:val="28"/>
          <w:szCs w:val="28"/>
        </w:rPr>
      </w:pPr>
      <w:r w:rsidRPr="002A79B1">
        <w:rPr>
          <w:rFonts w:ascii="宋体" w:eastAsia="黑体" w:hAnsi="宋体" w:cs="宋体" w:hint="eastAsia"/>
          <w:kern w:val="0"/>
          <w:sz w:val="28"/>
          <w:szCs w:val="28"/>
        </w:rPr>
        <w:t>第五十二条</w:t>
      </w:r>
      <w:r w:rsidRPr="002A79B1">
        <w:rPr>
          <w:rFonts w:ascii="宋体" w:eastAsia="黑体" w:hAnsi="宋体" w:cs="宋体" w:hint="eastAsia"/>
          <w:kern w:val="0"/>
          <w:sz w:val="28"/>
          <w:szCs w:val="28"/>
        </w:rPr>
        <w:t xml:space="preserve"> </w:t>
      </w:r>
      <w:r w:rsidRPr="002A79B1">
        <w:rPr>
          <w:rFonts w:ascii="宋体" w:hAnsi="宋体" w:cs="宋体" w:hint="eastAsia"/>
          <w:sz w:val="28"/>
          <w:szCs w:val="28"/>
        </w:rPr>
        <w:t>本办法自</w:t>
      </w:r>
      <w:r>
        <w:rPr>
          <w:rFonts w:ascii="宋体" w:hAnsi="宋体" w:cs="宋体" w:hint="eastAsia"/>
          <w:sz w:val="28"/>
          <w:szCs w:val="28"/>
        </w:rPr>
        <w:t>2020</w:t>
      </w:r>
      <w:r w:rsidRPr="00514DAF">
        <w:rPr>
          <w:rFonts w:ascii="宋体" w:hAnsi="宋体" w:cs="宋体" w:hint="eastAsia"/>
          <w:sz w:val="28"/>
          <w:szCs w:val="28"/>
        </w:rPr>
        <w:t>年7月14日</w:t>
      </w:r>
      <w:r w:rsidRPr="002A79B1">
        <w:rPr>
          <w:rFonts w:ascii="宋体" w:hAnsi="宋体" w:cs="宋体" w:hint="eastAsia"/>
          <w:sz w:val="28"/>
          <w:szCs w:val="28"/>
        </w:rPr>
        <w:t>起施行。</w:t>
      </w:r>
    </w:p>
    <w:p w:rsidR="00060455" w:rsidRPr="002A79B1" w:rsidRDefault="00060455" w:rsidP="00060455">
      <w:pPr>
        <w:adjustRightInd w:val="0"/>
        <w:snapToGrid w:val="0"/>
        <w:spacing w:line="520" w:lineRule="exact"/>
        <w:ind w:firstLineChars="200" w:firstLine="560"/>
        <w:rPr>
          <w:rFonts w:ascii="宋体" w:hAnsi="宋体" w:cs="黑体"/>
          <w:sz w:val="28"/>
          <w:szCs w:val="28"/>
        </w:rPr>
      </w:pPr>
      <w:r w:rsidRPr="002A79B1">
        <w:rPr>
          <w:rFonts w:ascii="宋体" w:hint="eastAsia"/>
          <w:kern w:val="0"/>
          <w:sz w:val="28"/>
          <w:szCs w:val="28"/>
        </w:rPr>
        <w:br w:type="page"/>
      </w:r>
      <w:bookmarkEnd w:id="4"/>
      <w:r w:rsidRPr="002A79B1">
        <w:rPr>
          <w:rFonts w:ascii="宋体" w:hAnsi="宋体" w:cs="黑体" w:hint="eastAsia"/>
          <w:sz w:val="28"/>
          <w:szCs w:val="28"/>
        </w:rPr>
        <w:lastRenderedPageBreak/>
        <w:t>附件:平仓数量的分配方法及步骤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22"/>
        <w:gridCol w:w="2278"/>
        <w:gridCol w:w="1277"/>
        <w:gridCol w:w="2129"/>
        <w:gridCol w:w="1132"/>
        <w:gridCol w:w="1084"/>
      </w:tblGrid>
      <w:tr w:rsidR="00060455" w:rsidRPr="002A79B1" w:rsidTr="001055B7">
        <w:trPr>
          <w:trHeight w:val="636"/>
          <w:jc w:val="center"/>
        </w:trPr>
        <w:tc>
          <w:tcPr>
            <w:tcW w:w="254" w:type="pct"/>
            <w:tcBorders>
              <w:top w:val="single" w:sz="4" w:space="0" w:color="auto"/>
              <w:left w:val="single" w:sz="4" w:space="0" w:color="auto"/>
              <w:bottom w:val="single" w:sz="4" w:space="0" w:color="auto"/>
              <w:right w:val="single" w:sz="4" w:space="0" w:color="auto"/>
            </w:tcBorders>
            <w:vAlign w:val="bottom"/>
            <w:hideMark/>
          </w:tcPr>
          <w:p w:rsidR="00060455" w:rsidRPr="002A79B1" w:rsidRDefault="00060455" w:rsidP="001055B7">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步骤</w:t>
            </w:r>
          </w:p>
        </w:tc>
        <w:tc>
          <w:tcPr>
            <w:tcW w:w="1369"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分配条件</w:t>
            </w:r>
          </w:p>
        </w:tc>
        <w:tc>
          <w:tcPr>
            <w:tcW w:w="767"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分配数</w:t>
            </w:r>
          </w:p>
        </w:tc>
        <w:tc>
          <w:tcPr>
            <w:tcW w:w="1279"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分配比例</w:t>
            </w:r>
          </w:p>
        </w:tc>
        <w:tc>
          <w:tcPr>
            <w:tcW w:w="680"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分配对象</w:t>
            </w:r>
          </w:p>
        </w:tc>
        <w:tc>
          <w:tcPr>
            <w:tcW w:w="651"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结果</w:t>
            </w:r>
          </w:p>
        </w:tc>
      </w:tr>
      <w:tr w:rsidR="00060455" w:rsidRPr="002A79B1" w:rsidTr="001055B7">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1</w:t>
            </w:r>
          </w:p>
        </w:tc>
        <w:tc>
          <w:tcPr>
            <w:tcW w:w="1369"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盈利2倍的投机持仓数量≥申报平仓数量</w:t>
            </w:r>
          </w:p>
        </w:tc>
        <w:tc>
          <w:tcPr>
            <w:tcW w:w="767"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申报平仓数量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申报平仓数量÷盈利2倍的投机持仓数量</w:t>
            </w:r>
          </w:p>
        </w:tc>
        <w:tc>
          <w:tcPr>
            <w:tcW w:w="680"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盈利2倍的投机客户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分配完毕</w:t>
            </w:r>
          </w:p>
        </w:tc>
      </w:tr>
      <w:tr w:rsidR="00060455" w:rsidRPr="002A79B1" w:rsidTr="001055B7">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2</w:t>
            </w:r>
          </w:p>
        </w:tc>
        <w:tc>
          <w:tcPr>
            <w:tcW w:w="1369"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盈利2倍的投机持仓数量&lt;申报平仓数量</w:t>
            </w:r>
          </w:p>
        </w:tc>
        <w:tc>
          <w:tcPr>
            <w:tcW w:w="767"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盈利2倍的投机持仓数量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盈利2倍的投机持仓数量÷申报平仓数量</w:t>
            </w:r>
          </w:p>
        </w:tc>
        <w:tc>
          <w:tcPr>
            <w:tcW w:w="680"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申报平仓客户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有剩余再按步骤3，4分配</w:t>
            </w:r>
          </w:p>
        </w:tc>
      </w:tr>
      <w:tr w:rsidR="00060455" w:rsidRPr="002A79B1" w:rsidTr="001055B7">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3</w:t>
            </w:r>
          </w:p>
        </w:tc>
        <w:tc>
          <w:tcPr>
            <w:tcW w:w="1369"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盈利1倍的投机持仓数量≥剩余申报平仓数量1</w:t>
            </w:r>
          </w:p>
        </w:tc>
        <w:tc>
          <w:tcPr>
            <w:tcW w:w="767"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剩余申报平仓数量1</w:t>
            </w:r>
          </w:p>
        </w:tc>
        <w:tc>
          <w:tcPr>
            <w:tcW w:w="1279"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剩余申报平仓数量1÷盈利1倍的投机持仓数量</w:t>
            </w:r>
          </w:p>
        </w:tc>
        <w:tc>
          <w:tcPr>
            <w:tcW w:w="680"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盈利1倍的投机客户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分配完毕</w:t>
            </w:r>
          </w:p>
        </w:tc>
      </w:tr>
      <w:tr w:rsidR="00060455" w:rsidRPr="002A79B1" w:rsidTr="001055B7">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4</w:t>
            </w:r>
          </w:p>
        </w:tc>
        <w:tc>
          <w:tcPr>
            <w:tcW w:w="1369"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盈利1倍的投机持仓数量&lt;剩余申报平仓数量1</w:t>
            </w:r>
          </w:p>
        </w:tc>
        <w:tc>
          <w:tcPr>
            <w:tcW w:w="767"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盈利1倍的投机持仓数量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盈利1倍的投机持仓数量÷剩余申报平仓数量1</w:t>
            </w:r>
          </w:p>
        </w:tc>
        <w:tc>
          <w:tcPr>
            <w:tcW w:w="680"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有剩余再按步骤5，6分配</w:t>
            </w:r>
          </w:p>
        </w:tc>
      </w:tr>
      <w:tr w:rsidR="00060455" w:rsidRPr="002A79B1" w:rsidTr="001055B7">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5</w:t>
            </w:r>
          </w:p>
        </w:tc>
        <w:tc>
          <w:tcPr>
            <w:tcW w:w="1369"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盈利1倍以下的投机持仓数量≥剩余申报平仓数量2</w:t>
            </w:r>
          </w:p>
        </w:tc>
        <w:tc>
          <w:tcPr>
            <w:tcW w:w="767"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剩余申报平仓数量2</w:t>
            </w:r>
          </w:p>
        </w:tc>
        <w:tc>
          <w:tcPr>
            <w:tcW w:w="1279"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剩余申报平仓数量2÷盈利1倍以下的投机持仓数量</w:t>
            </w:r>
          </w:p>
        </w:tc>
        <w:tc>
          <w:tcPr>
            <w:tcW w:w="680"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盈利1倍以下的投机客户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分配完毕</w:t>
            </w:r>
          </w:p>
        </w:tc>
      </w:tr>
      <w:tr w:rsidR="00060455" w:rsidRPr="002A79B1" w:rsidTr="001055B7">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6</w:t>
            </w:r>
          </w:p>
        </w:tc>
        <w:tc>
          <w:tcPr>
            <w:tcW w:w="1369"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盈利1倍以下的投机持仓数量&lt;剩余申报平仓数量2</w:t>
            </w:r>
          </w:p>
        </w:tc>
        <w:tc>
          <w:tcPr>
            <w:tcW w:w="767"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盈利1倍以下的投机持仓数量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盈利1倍以下的投机持仓数量÷剩余申报平仓数量2</w:t>
            </w:r>
          </w:p>
        </w:tc>
        <w:tc>
          <w:tcPr>
            <w:tcW w:w="680"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有剩余再按步骤7，8分配</w:t>
            </w:r>
          </w:p>
        </w:tc>
      </w:tr>
      <w:tr w:rsidR="00060455" w:rsidRPr="002A79B1" w:rsidTr="001055B7">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7</w:t>
            </w:r>
          </w:p>
        </w:tc>
        <w:tc>
          <w:tcPr>
            <w:tcW w:w="1369"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盈利2倍的保值持仓数量≥剩余申报平仓数量3</w:t>
            </w:r>
          </w:p>
        </w:tc>
        <w:tc>
          <w:tcPr>
            <w:tcW w:w="767"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剩余申报平仓数量3</w:t>
            </w:r>
          </w:p>
        </w:tc>
        <w:tc>
          <w:tcPr>
            <w:tcW w:w="1279"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剩余申报平仓数量3÷盈利2倍的保值持仓数量</w:t>
            </w:r>
          </w:p>
        </w:tc>
        <w:tc>
          <w:tcPr>
            <w:tcW w:w="680"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盈利2倍的保值客户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分配完毕</w:t>
            </w:r>
          </w:p>
        </w:tc>
      </w:tr>
      <w:tr w:rsidR="00060455" w:rsidRPr="002A79B1" w:rsidTr="001055B7">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8</w:t>
            </w:r>
          </w:p>
        </w:tc>
        <w:tc>
          <w:tcPr>
            <w:tcW w:w="1369"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盈利2倍的保值持仓数量&lt;剩余申报平仓数量3</w:t>
            </w:r>
          </w:p>
        </w:tc>
        <w:tc>
          <w:tcPr>
            <w:tcW w:w="767"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盈利2倍的保值持仓数量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盈利2倍的保值持仓数量÷剩余申报平仓数量3</w:t>
            </w:r>
          </w:p>
        </w:tc>
        <w:tc>
          <w:tcPr>
            <w:tcW w:w="680"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060455" w:rsidRPr="002A79B1" w:rsidRDefault="00060455" w:rsidP="001055B7">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有剩余不再分配</w:t>
            </w:r>
          </w:p>
        </w:tc>
      </w:tr>
    </w:tbl>
    <w:p w:rsidR="00060455" w:rsidRPr="002A79B1" w:rsidRDefault="00060455" w:rsidP="00060455">
      <w:pPr>
        <w:widowControl/>
        <w:ind w:firstLineChars="200" w:firstLine="560"/>
        <w:outlineLvl w:val="3"/>
        <w:rPr>
          <w:rFonts w:ascii="宋体" w:hAnsi="宋体" w:cs="宋体"/>
          <w:kern w:val="0"/>
          <w:sz w:val="28"/>
          <w:szCs w:val="28"/>
        </w:rPr>
      </w:pPr>
      <w:r w:rsidRPr="002A79B1">
        <w:rPr>
          <w:rFonts w:ascii="宋体" w:hAnsi="宋体" w:cs="宋体" w:hint="eastAsia"/>
          <w:kern w:val="0"/>
          <w:sz w:val="28"/>
          <w:szCs w:val="28"/>
        </w:rPr>
        <w:t>注：1.剩余申报平仓数量1=申报平仓数量-盈利2倍的投机持仓数量；</w:t>
      </w:r>
    </w:p>
    <w:p w:rsidR="00060455" w:rsidRPr="002A79B1" w:rsidRDefault="00060455" w:rsidP="00060455">
      <w:pPr>
        <w:widowControl/>
        <w:ind w:firstLineChars="200" w:firstLine="560"/>
        <w:outlineLvl w:val="3"/>
        <w:rPr>
          <w:rFonts w:ascii="宋体" w:hAnsi="宋体" w:cs="宋体"/>
          <w:kern w:val="0"/>
          <w:sz w:val="28"/>
          <w:szCs w:val="28"/>
        </w:rPr>
      </w:pPr>
      <w:r w:rsidRPr="002A79B1">
        <w:rPr>
          <w:rFonts w:ascii="宋体" w:hAnsi="宋体" w:cs="宋体" w:hint="eastAsia"/>
          <w:kern w:val="0"/>
          <w:sz w:val="28"/>
          <w:szCs w:val="28"/>
        </w:rPr>
        <w:t>2.剩余申报平仓数量2=剩余申报平仓数量1-盈利1倍的投机持仓数量；</w:t>
      </w:r>
    </w:p>
    <w:p w:rsidR="00060455" w:rsidRPr="002A79B1" w:rsidRDefault="00060455" w:rsidP="00060455">
      <w:pPr>
        <w:widowControl/>
        <w:ind w:firstLineChars="200" w:firstLine="560"/>
        <w:outlineLvl w:val="3"/>
        <w:rPr>
          <w:rFonts w:ascii="宋体" w:hAnsi="宋体" w:cs="宋体"/>
          <w:kern w:val="0"/>
          <w:sz w:val="28"/>
          <w:szCs w:val="28"/>
        </w:rPr>
      </w:pPr>
      <w:r w:rsidRPr="002A79B1">
        <w:rPr>
          <w:rFonts w:ascii="宋体" w:hAnsi="宋体" w:cs="宋体" w:hint="eastAsia"/>
          <w:kern w:val="0"/>
          <w:sz w:val="28"/>
          <w:szCs w:val="28"/>
        </w:rPr>
        <w:t>3.剩余申报平仓数量3=剩余申报平仓数量2-盈利1倍以下的投机持仓数量；</w:t>
      </w:r>
    </w:p>
    <w:p w:rsidR="00D71A04" w:rsidRPr="00060455" w:rsidRDefault="00060455" w:rsidP="00060455">
      <w:pPr>
        <w:ind w:firstLineChars="200" w:firstLine="560"/>
      </w:pPr>
      <w:r w:rsidRPr="002A79B1">
        <w:rPr>
          <w:rFonts w:ascii="宋体" w:hAnsi="宋体" w:cs="宋体" w:hint="eastAsia"/>
          <w:kern w:val="0"/>
          <w:sz w:val="28"/>
          <w:szCs w:val="28"/>
        </w:rPr>
        <w:t>4.投机持仓数量和保值持仓数量是指在平仓范围内盈利客户的持仓数量。</w:t>
      </w:r>
    </w:p>
    <w:sectPr w:rsidR="00D71A04" w:rsidRPr="00060455" w:rsidSect="00060455">
      <w:footerReference w:type="even" r:id="rId7"/>
      <w:footerReference w:type="default" r:id="rId8"/>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E03" w:rsidRDefault="00C70E03" w:rsidP="00060455">
      <w:r>
        <w:separator/>
      </w:r>
    </w:p>
  </w:endnote>
  <w:endnote w:type="continuationSeparator" w:id="1">
    <w:p w:rsidR="00C70E03" w:rsidRDefault="00C70E03" w:rsidP="000604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9C2" w:rsidRDefault="00C70E03">
    <w:pPr>
      <w:pStyle w:val="a3"/>
      <w:rPr>
        <w:sz w:val="28"/>
      </w:rPr>
    </w:pPr>
    <w:r>
      <w:rPr>
        <w:rFonts w:hint="eastAsia"/>
        <w:sz w:val="28"/>
      </w:rPr>
      <w:t>—</w:t>
    </w:r>
    <w:r>
      <w:rPr>
        <w:rFonts w:hint="eastAsia"/>
        <w:sz w:val="28"/>
      </w:rPr>
      <w:t xml:space="preserve"> </w:t>
    </w:r>
    <w:r>
      <w:rPr>
        <w:rStyle w:val="a4"/>
        <w:sz w:val="28"/>
      </w:rPr>
      <w:fldChar w:fldCharType="begin"/>
    </w:r>
    <w:r>
      <w:rPr>
        <w:rStyle w:val="a4"/>
        <w:sz w:val="28"/>
      </w:rPr>
      <w:instrText xml:space="preserve"> PAGE </w:instrText>
    </w:r>
    <w:r>
      <w:rPr>
        <w:rStyle w:val="a4"/>
        <w:sz w:val="28"/>
      </w:rPr>
      <w:fldChar w:fldCharType="separate"/>
    </w:r>
    <w:r w:rsidR="00060455">
      <w:rPr>
        <w:rStyle w:val="a4"/>
        <w:noProof/>
        <w:sz w:val="28"/>
      </w:rPr>
      <w:t>2</w:t>
    </w:r>
    <w:r>
      <w:rPr>
        <w:rStyle w:val="a4"/>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9C2" w:rsidRDefault="00C70E03">
    <w:pPr>
      <w:pStyle w:val="a3"/>
      <w:wordWrap w:val="0"/>
      <w:jc w:val="right"/>
      <w:rPr>
        <w:sz w:val="28"/>
      </w:rPr>
    </w:pPr>
    <w:r>
      <w:rPr>
        <w:rFonts w:hint="eastAsia"/>
        <w:sz w:val="28"/>
      </w:rPr>
      <w:t>—</w:t>
    </w:r>
    <w:r>
      <w:rPr>
        <w:rFonts w:hint="eastAsia"/>
        <w:sz w:val="28"/>
      </w:rPr>
      <w:t xml:space="preserve"> </w:t>
    </w:r>
    <w:r>
      <w:rPr>
        <w:rStyle w:val="a4"/>
        <w:sz w:val="28"/>
      </w:rPr>
      <w:fldChar w:fldCharType="begin"/>
    </w:r>
    <w:r>
      <w:rPr>
        <w:rStyle w:val="a4"/>
        <w:sz w:val="28"/>
      </w:rPr>
      <w:instrText xml:space="preserve"> PAGE </w:instrText>
    </w:r>
    <w:r>
      <w:rPr>
        <w:rStyle w:val="a4"/>
        <w:sz w:val="28"/>
      </w:rPr>
      <w:fldChar w:fldCharType="separate"/>
    </w:r>
    <w:r w:rsidR="00060455">
      <w:rPr>
        <w:rStyle w:val="a4"/>
        <w:noProof/>
        <w:sz w:val="28"/>
      </w:rPr>
      <w:t>1</w:t>
    </w:r>
    <w:r>
      <w:rPr>
        <w:rStyle w:val="a4"/>
        <w:sz w:val="28"/>
      </w:rPr>
      <w:fldChar w:fldCharType="end"/>
    </w:r>
    <w:r>
      <w:rPr>
        <w:rFonts w:hint="eastAsia"/>
        <w:sz w:val="28"/>
      </w:rPr>
      <w:t xml:space="preserve"> </w:t>
    </w:r>
    <w:r>
      <w:rPr>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E03" w:rsidRDefault="00C70E03" w:rsidP="00060455">
      <w:r>
        <w:separator/>
      </w:r>
    </w:p>
  </w:footnote>
  <w:footnote w:type="continuationSeparator" w:id="1">
    <w:p w:rsidR="00C70E03" w:rsidRDefault="00C70E03" w:rsidP="00060455">
      <w:r>
        <w:continuationSeparator/>
      </w:r>
    </w:p>
  </w:footnote>
  <w:footnote w:id="2">
    <w:p w:rsidR="00060455" w:rsidRDefault="00060455" w:rsidP="00060455">
      <w:pPr>
        <w:pStyle w:val="a5"/>
      </w:pPr>
      <w:r>
        <w:rPr>
          <w:rStyle w:val="a6"/>
        </w:rPr>
        <w:footnoteRef/>
      </w:r>
      <w:r>
        <w:rPr>
          <w:rFonts w:cs="宋体" w:hint="eastAsia"/>
        </w:rPr>
        <w:t>各品种中，普通小麦简称“普麦”，优质强筋小麦简称“强麦”，一号棉花简称“一号棉”，精对苯二甲酸统称“</w:t>
      </w:r>
      <w:r>
        <w:t>PTA</w:t>
      </w:r>
      <w:r>
        <w:rPr>
          <w:rFonts w:hint="eastAsia"/>
        </w:rPr>
        <w:t>”</w:t>
      </w:r>
      <w:r>
        <w:rPr>
          <w:rFonts w:cs="宋体" w:hint="eastAsia"/>
        </w:rPr>
        <w:t>，菜籽油简称“菜油”，油菜籽简称“菜籽”，菜籽粕简称“菜粕”，鲜苹果简称</w:t>
      </w:r>
      <w:r>
        <w:rPr>
          <w:rFonts w:cs="宋体"/>
        </w:rPr>
        <w:t>“</w:t>
      </w:r>
      <w:r>
        <w:rPr>
          <w:rFonts w:cs="宋体" w:hint="eastAsia"/>
        </w:rPr>
        <w:t>苹果</w:t>
      </w:r>
      <w:r>
        <w:rPr>
          <w:rFonts w:cs="宋体"/>
        </w:rPr>
        <w:t>”</w:t>
      </w:r>
      <w:r>
        <w:rPr>
          <w:rFonts w:cs="宋体" w:hint="eastAsia"/>
        </w:rPr>
        <w:t>，</w:t>
      </w:r>
      <w:r>
        <w:t xml:space="preserve"> </w:t>
      </w:r>
      <w:r>
        <w:rPr>
          <w:rFonts w:cs="宋体" w:hint="eastAsia"/>
        </w:rPr>
        <w:t>干制红枣简称“红枣”。</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0455"/>
    <w:rsid w:val="00000274"/>
    <w:rsid w:val="000009D9"/>
    <w:rsid w:val="000011FD"/>
    <w:rsid w:val="00002C67"/>
    <w:rsid w:val="0000355C"/>
    <w:rsid w:val="00005541"/>
    <w:rsid w:val="00005B6D"/>
    <w:rsid w:val="00005EC2"/>
    <w:rsid w:val="00005FAF"/>
    <w:rsid w:val="000068B6"/>
    <w:rsid w:val="000075B7"/>
    <w:rsid w:val="00010A7D"/>
    <w:rsid w:val="000122B8"/>
    <w:rsid w:val="00012C14"/>
    <w:rsid w:val="0001324F"/>
    <w:rsid w:val="00013A43"/>
    <w:rsid w:val="0001459E"/>
    <w:rsid w:val="00014C98"/>
    <w:rsid w:val="00015471"/>
    <w:rsid w:val="00017385"/>
    <w:rsid w:val="00017921"/>
    <w:rsid w:val="00020543"/>
    <w:rsid w:val="000233C1"/>
    <w:rsid w:val="000244A1"/>
    <w:rsid w:val="000255D9"/>
    <w:rsid w:val="00025703"/>
    <w:rsid w:val="000279E8"/>
    <w:rsid w:val="00027EFF"/>
    <w:rsid w:val="00030860"/>
    <w:rsid w:val="0003210D"/>
    <w:rsid w:val="00032900"/>
    <w:rsid w:val="00034403"/>
    <w:rsid w:val="00035E47"/>
    <w:rsid w:val="00036F88"/>
    <w:rsid w:val="00037E80"/>
    <w:rsid w:val="00041227"/>
    <w:rsid w:val="0004722E"/>
    <w:rsid w:val="0005088E"/>
    <w:rsid w:val="0005578A"/>
    <w:rsid w:val="00056474"/>
    <w:rsid w:val="00056749"/>
    <w:rsid w:val="00056C8E"/>
    <w:rsid w:val="00057D6C"/>
    <w:rsid w:val="00060455"/>
    <w:rsid w:val="00061F9A"/>
    <w:rsid w:val="00062BAE"/>
    <w:rsid w:val="000650D9"/>
    <w:rsid w:val="0006546E"/>
    <w:rsid w:val="00065F7D"/>
    <w:rsid w:val="0006671E"/>
    <w:rsid w:val="0006742C"/>
    <w:rsid w:val="00067A93"/>
    <w:rsid w:val="00067BFC"/>
    <w:rsid w:val="000719A1"/>
    <w:rsid w:val="000723FD"/>
    <w:rsid w:val="0007289C"/>
    <w:rsid w:val="0007298C"/>
    <w:rsid w:val="00072D76"/>
    <w:rsid w:val="000730A3"/>
    <w:rsid w:val="0007382D"/>
    <w:rsid w:val="00074B4C"/>
    <w:rsid w:val="00075527"/>
    <w:rsid w:val="00075830"/>
    <w:rsid w:val="00076707"/>
    <w:rsid w:val="000840C9"/>
    <w:rsid w:val="00084318"/>
    <w:rsid w:val="00084B23"/>
    <w:rsid w:val="00086320"/>
    <w:rsid w:val="00086E7C"/>
    <w:rsid w:val="000877C2"/>
    <w:rsid w:val="000877FE"/>
    <w:rsid w:val="000901F7"/>
    <w:rsid w:val="00090F84"/>
    <w:rsid w:val="000911AD"/>
    <w:rsid w:val="00092C58"/>
    <w:rsid w:val="000930F4"/>
    <w:rsid w:val="0009340F"/>
    <w:rsid w:val="0009379D"/>
    <w:rsid w:val="00093F61"/>
    <w:rsid w:val="000947F4"/>
    <w:rsid w:val="000974D4"/>
    <w:rsid w:val="000A0F4F"/>
    <w:rsid w:val="000A1164"/>
    <w:rsid w:val="000A2626"/>
    <w:rsid w:val="000A2637"/>
    <w:rsid w:val="000A2891"/>
    <w:rsid w:val="000A3DAA"/>
    <w:rsid w:val="000A4695"/>
    <w:rsid w:val="000A6DFC"/>
    <w:rsid w:val="000A7351"/>
    <w:rsid w:val="000B1475"/>
    <w:rsid w:val="000B3172"/>
    <w:rsid w:val="000B503E"/>
    <w:rsid w:val="000B74F1"/>
    <w:rsid w:val="000C2819"/>
    <w:rsid w:val="000C2BD7"/>
    <w:rsid w:val="000C30BF"/>
    <w:rsid w:val="000C30D2"/>
    <w:rsid w:val="000C55FE"/>
    <w:rsid w:val="000C59F6"/>
    <w:rsid w:val="000C7BFA"/>
    <w:rsid w:val="000D0AB5"/>
    <w:rsid w:val="000D0C7A"/>
    <w:rsid w:val="000D1782"/>
    <w:rsid w:val="000D238C"/>
    <w:rsid w:val="000D2851"/>
    <w:rsid w:val="000D2A12"/>
    <w:rsid w:val="000D3B38"/>
    <w:rsid w:val="000D3FED"/>
    <w:rsid w:val="000D551F"/>
    <w:rsid w:val="000D5B10"/>
    <w:rsid w:val="000D6BCC"/>
    <w:rsid w:val="000D6F8C"/>
    <w:rsid w:val="000D7C84"/>
    <w:rsid w:val="000D7D3D"/>
    <w:rsid w:val="000E11CA"/>
    <w:rsid w:val="000E2737"/>
    <w:rsid w:val="000E4309"/>
    <w:rsid w:val="000E537D"/>
    <w:rsid w:val="000E5517"/>
    <w:rsid w:val="000E588C"/>
    <w:rsid w:val="000E5B44"/>
    <w:rsid w:val="000E63EE"/>
    <w:rsid w:val="000E756B"/>
    <w:rsid w:val="000F031B"/>
    <w:rsid w:val="000F0C1A"/>
    <w:rsid w:val="000F35E5"/>
    <w:rsid w:val="000F3EDA"/>
    <w:rsid w:val="000F544B"/>
    <w:rsid w:val="000F58FC"/>
    <w:rsid w:val="000F66F3"/>
    <w:rsid w:val="001000BD"/>
    <w:rsid w:val="001002F6"/>
    <w:rsid w:val="001057A0"/>
    <w:rsid w:val="0010679D"/>
    <w:rsid w:val="0010706C"/>
    <w:rsid w:val="00107699"/>
    <w:rsid w:val="00111AB2"/>
    <w:rsid w:val="001126AA"/>
    <w:rsid w:val="00113200"/>
    <w:rsid w:val="0011324E"/>
    <w:rsid w:val="001136F7"/>
    <w:rsid w:val="00115655"/>
    <w:rsid w:val="001166BE"/>
    <w:rsid w:val="00116D4B"/>
    <w:rsid w:val="00116EFE"/>
    <w:rsid w:val="00120A63"/>
    <w:rsid w:val="00120DBB"/>
    <w:rsid w:val="00121A60"/>
    <w:rsid w:val="001221B1"/>
    <w:rsid w:val="0012230C"/>
    <w:rsid w:val="00122601"/>
    <w:rsid w:val="00125B89"/>
    <w:rsid w:val="0012650C"/>
    <w:rsid w:val="00126873"/>
    <w:rsid w:val="001274C7"/>
    <w:rsid w:val="00127509"/>
    <w:rsid w:val="00127F60"/>
    <w:rsid w:val="0013005D"/>
    <w:rsid w:val="001333E5"/>
    <w:rsid w:val="00133719"/>
    <w:rsid w:val="00133838"/>
    <w:rsid w:val="00133A6B"/>
    <w:rsid w:val="001344D7"/>
    <w:rsid w:val="001356BF"/>
    <w:rsid w:val="001358AD"/>
    <w:rsid w:val="00137BE6"/>
    <w:rsid w:val="00140AD8"/>
    <w:rsid w:val="00141399"/>
    <w:rsid w:val="00143E57"/>
    <w:rsid w:val="00146DAC"/>
    <w:rsid w:val="00147004"/>
    <w:rsid w:val="0014737B"/>
    <w:rsid w:val="0014739F"/>
    <w:rsid w:val="00151234"/>
    <w:rsid w:val="001514F4"/>
    <w:rsid w:val="001541E3"/>
    <w:rsid w:val="00154D58"/>
    <w:rsid w:val="00155534"/>
    <w:rsid w:val="001561EE"/>
    <w:rsid w:val="00156F87"/>
    <w:rsid w:val="00157092"/>
    <w:rsid w:val="0016382C"/>
    <w:rsid w:val="00164A55"/>
    <w:rsid w:val="001656E9"/>
    <w:rsid w:val="00166940"/>
    <w:rsid w:val="001708BF"/>
    <w:rsid w:val="0017144B"/>
    <w:rsid w:val="001727A4"/>
    <w:rsid w:val="001728BD"/>
    <w:rsid w:val="001744CC"/>
    <w:rsid w:val="00175348"/>
    <w:rsid w:val="001761B1"/>
    <w:rsid w:val="0017739E"/>
    <w:rsid w:val="0017762A"/>
    <w:rsid w:val="00177959"/>
    <w:rsid w:val="00177B95"/>
    <w:rsid w:val="0018235A"/>
    <w:rsid w:val="0018431A"/>
    <w:rsid w:val="001843F2"/>
    <w:rsid w:val="001866E8"/>
    <w:rsid w:val="00186C07"/>
    <w:rsid w:val="001929EC"/>
    <w:rsid w:val="0019313C"/>
    <w:rsid w:val="0019367C"/>
    <w:rsid w:val="00194AA2"/>
    <w:rsid w:val="00196923"/>
    <w:rsid w:val="00196FE6"/>
    <w:rsid w:val="001A1517"/>
    <w:rsid w:val="001A1C13"/>
    <w:rsid w:val="001A1FD6"/>
    <w:rsid w:val="001A2B1C"/>
    <w:rsid w:val="001A2BE0"/>
    <w:rsid w:val="001A42D5"/>
    <w:rsid w:val="001A57FF"/>
    <w:rsid w:val="001A722D"/>
    <w:rsid w:val="001B03E1"/>
    <w:rsid w:val="001B201B"/>
    <w:rsid w:val="001B270B"/>
    <w:rsid w:val="001B2C80"/>
    <w:rsid w:val="001B5523"/>
    <w:rsid w:val="001B5D24"/>
    <w:rsid w:val="001B6221"/>
    <w:rsid w:val="001B7128"/>
    <w:rsid w:val="001C01A9"/>
    <w:rsid w:val="001C01F6"/>
    <w:rsid w:val="001C1440"/>
    <w:rsid w:val="001C241B"/>
    <w:rsid w:val="001C2524"/>
    <w:rsid w:val="001C3369"/>
    <w:rsid w:val="001C59C9"/>
    <w:rsid w:val="001C6139"/>
    <w:rsid w:val="001C6570"/>
    <w:rsid w:val="001C66B1"/>
    <w:rsid w:val="001D0290"/>
    <w:rsid w:val="001D1EBD"/>
    <w:rsid w:val="001D27B2"/>
    <w:rsid w:val="001D4452"/>
    <w:rsid w:val="001D5B20"/>
    <w:rsid w:val="001D655F"/>
    <w:rsid w:val="001E00E0"/>
    <w:rsid w:val="001E117C"/>
    <w:rsid w:val="001E1C1A"/>
    <w:rsid w:val="001E201A"/>
    <w:rsid w:val="001E201D"/>
    <w:rsid w:val="001E3564"/>
    <w:rsid w:val="001E37CB"/>
    <w:rsid w:val="001E571D"/>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19D8"/>
    <w:rsid w:val="00204B41"/>
    <w:rsid w:val="0020590F"/>
    <w:rsid w:val="002066AE"/>
    <w:rsid w:val="00207E11"/>
    <w:rsid w:val="00210EBC"/>
    <w:rsid w:val="00210F9E"/>
    <w:rsid w:val="00211FDC"/>
    <w:rsid w:val="00212A11"/>
    <w:rsid w:val="00214C20"/>
    <w:rsid w:val="00215B10"/>
    <w:rsid w:val="00220009"/>
    <w:rsid w:val="00222353"/>
    <w:rsid w:val="0022290C"/>
    <w:rsid w:val="0022298C"/>
    <w:rsid w:val="00222EE3"/>
    <w:rsid w:val="0022383D"/>
    <w:rsid w:val="00223FF1"/>
    <w:rsid w:val="00224167"/>
    <w:rsid w:val="00224469"/>
    <w:rsid w:val="00224F21"/>
    <w:rsid w:val="0022564D"/>
    <w:rsid w:val="002278D0"/>
    <w:rsid w:val="00227F68"/>
    <w:rsid w:val="002337A8"/>
    <w:rsid w:val="00233BCF"/>
    <w:rsid w:val="002343DC"/>
    <w:rsid w:val="00235D3D"/>
    <w:rsid w:val="00237F2D"/>
    <w:rsid w:val="00237F49"/>
    <w:rsid w:val="00240B15"/>
    <w:rsid w:val="0024130E"/>
    <w:rsid w:val="00241933"/>
    <w:rsid w:val="00242351"/>
    <w:rsid w:val="00242B78"/>
    <w:rsid w:val="00245F6D"/>
    <w:rsid w:val="0024685B"/>
    <w:rsid w:val="00246B01"/>
    <w:rsid w:val="002471B9"/>
    <w:rsid w:val="00247E28"/>
    <w:rsid w:val="00250825"/>
    <w:rsid w:val="002513EE"/>
    <w:rsid w:val="00251D52"/>
    <w:rsid w:val="002527D6"/>
    <w:rsid w:val="00254DB1"/>
    <w:rsid w:val="00255A6C"/>
    <w:rsid w:val="00255ED5"/>
    <w:rsid w:val="00256180"/>
    <w:rsid w:val="00256585"/>
    <w:rsid w:val="00260D68"/>
    <w:rsid w:val="002613EB"/>
    <w:rsid w:val="00262093"/>
    <w:rsid w:val="0026319F"/>
    <w:rsid w:val="00263E41"/>
    <w:rsid w:val="00265256"/>
    <w:rsid w:val="0026591A"/>
    <w:rsid w:val="00265C8B"/>
    <w:rsid w:val="00267A3B"/>
    <w:rsid w:val="00267A74"/>
    <w:rsid w:val="002707DF"/>
    <w:rsid w:val="002732EE"/>
    <w:rsid w:val="002735B0"/>
    <w:rsid w:val="00273FB1"/>
    <w:rsid w:val="00276C8D"/>
    <w:rsid w:val="0028032B"/>
    <w:rsid w:val="002809B7"/>
    <w:rsid w:val="00281332"/>
    <w:rsid w:val="0028261A"/>
    <w:rsid w:val="00282A9C"/>
    <w:rsid w:val="0028319B"/>
    <w:rsid w:val="00283F10"/>
    <w:rsid w:val="002849CC"/>
    <w:rsid w:val="00284F7D"/>
    <w:rsid w:val="00285621"/>
    <w:rsid w:val="00286004"/>
    <w:rsid w:val="002860D4"/>
    <w:rsid w:val="00292267"/>
    <w:rsid w:val="0029242C"/>
    <w:rsid w:val="0029271B"/>
    <w:rsid w:val="00293EBE"/>
    <w:rsid w:val="0029437D"/>
    <w:rsid w:val="002A0623"/>
    <w:rsid w:val="002A0680"/>
    <w:rsid w:val="002A10D9"/>
    <w:rsid w:val="002A1FC9"/>
    <w:rsid w:val="002A5999"/>
    <w:rsid w:val="002A61E0"/>
    <w:rsid w:val="002A6928"/>
    <w:rsid w:val="002A71E5"/>
    <w:rsid w:val="002B017E"/>
    <w:rsid w:val="002B02D4"/>
    <w:rsid w:val="002B0554"/>
    <w:rsid w:val="002B1DD8"/>
    <w:rsid w:val="002B3E6B"/>
    <w:rsid w:val="002B4B10"/>
    <w:rsid w:val="002B5196"/>
    <w:rsid w:val="002B62B1"/>
    <w:rsid w:val="002B6530"/>
    <w:rsid w:val="002B7B92"/>
    <w:rsid w:val="002B7BF3"/>
    <w:rsid w:val="002C05C3"/>
    <w:rsid w:val="002C36FA"/>
    <w:rsid w:val="002C3B8C"/>
    <w:rsid w:val="002C3FBF"/>
    <w:rsid w:val="002C44DE"/>
    <w:rsid w:val="002C6944"/>
    <w:rsid w:val="002C7C6A"/>
    <w:rsid w:val="002D19ED"/>
    <w:rsid w:val="002D4D7C"/>
    <w:rsid w:val="002D6520"/>
    <w:rsid w:val="002D77B4"/>
    <w:rsid w:val="002E0A33"/>
    <w:rsid w:val="002E0E53"/>
    <w:rsid w:val="002E0EA0"/>
    <w:rsid w:val="002E1435"/>
    <w:rsid w:val="002E3DD0"/>
    <w:rsid w:val="002F010E"/>
    <w:rsid w:val="002F06B4"/>
    <w:rsid w:val="002F0BF5"/>
    <w:rsid w:val="002F1A1F"/>
    <w:rsid w:val="002F579D"/>
    <w:rsid w:val="002F5D39"/>
    <w:rsid w:val="002F5D40"/>
    <w:rsid w:val="002F6B96"/>
    <w:rsid w:val="00300834"/>
    <w:rsid w:val="003008B3"/>
    <w:rsid w:val="00300EE8"/>
    <w:rsid w:val="003036C9"/>
    <w:rsid w:val="00303906"/>
    <w:rsid w:val="00304229"/>
    <w:rsid w:val="00304A4B"/>
    <w:rsid w:val="00305D77"/>
    <w:rsid w:val="00305E3C"/>
    <w:rsid w:val="00307237"/>
    <w:rsid w:val="00307FBD"/>
    <w:rsid w:val="003102CF"/>
    <w:rsid w:val="00312BA4"/>
    <w:rsid w:val="00313FA5"/>
    <w:rsid w:val="00314DC8"/>
    <w:rsid w:val="003151EE"/>
    <w:rsid w:val="0031645E"/>
    <w:rsid w:val="003173F0"/>
    <w:rsid w:val="00320547"/>
    <w:rsid w:val="0032184E"/>
    <w:rsid w:val="00322048"/>
    <w:rsid w:val="003224BC"/>
    <w:rsid w:val="003232E2"/>
    <w:rsid w:val="00323B61"/>
    <w:rsid w:val="00324186"/>
    <w:rsid w:val="00324DFC"/>
    <w:rsid w:val="00330666"/>
    <w:rsid w:val="003338FF"/>
    <w:rsid w:val="00333C7B"/>
    <w:rsid w:val="00336163"/>
    <w:rsid w:val="00336493"/>
    <w:rsid w:val="00336692"/>
    <w:rsid w:val="00336E5F"/>
    <w:rsid w:val="00337C91"/>
    <w:rsid w:val="00343635"/>
    <w:rsid w:val="00344575"/>
    <w:rsid w:val="00344E38"/>
    <w:rsid w:val="00344F5C"/>
    <w:rsid w:val="0034531F"/>
    <w:rsid w:val="00345CF6"/>
    <w:rsid w:val="00346B2A"/>
    <w:rsid w:val="00346BAA"/>
    <w:rsid w:val="003476FB"/>
    <w:rsid w:val="00347FDB"/>
    <w:rsid w:val="00351EFB"/>
    <w:rsid w:val="0035470A"/>
    <w:rsid w:val="00361192"/>
    <w:rsid w:val="003630F6"/>
    <w:rsid w:val="0036412E"/>
    <w:rsid w:val="003652C9"/>
    <w:rsid w:val="003668FB"/>
    <w:rsid w:val="00366AC5"/>
    <w:rsid w:val="00367510"/>
    <w:rsid w:val="003703F7"/>
    <w:rsid w:val="00370772"/>
    <w:rsid w:val="00371887"/>
    <w:rsid w:val="00371B63"/>
    <w:rsid w:val="00371C2B"/>
    <w:rsid w:val="003732E6"/>
    <w:rsid w:val="00373523"/>
    <w:rsid w:val="00373B51"/>
    <w:rsid w:val="0037493D"/>
    <w:rsid w:val="00374AA4"/>
    <w:rsid w:val="00375164"/>
    <w:rsid w:val="00376976"/>
    <w:rsid w:val="00376D40"/>
    <w:rsid w:val="00376D8D"/>
    <w:rsid w:val="003824EB"/>
    <w:rsid w:val="0038398B"/>
    <w:rsid w:val="00383EEC"/>
    <w:rsid w:val="00385C37"/>
    <w:rsid w:val="00385CF8"/>
    <w:rsid w:val="00387198"/>
    <w:rsid w:val="003915BF"/>
    <w:rsid w:val="003920B2"/>
    <w:rsid w:val="003924D4"/>
    <w:rsid w:val="0039402F"/>
    <w:rsid w:val="00395C4B"/>
    <w:rsid w:val="00397869"/>
    <w:rsid w:val="00397EB7"/>
    <w:rsid w:val="003A0E3A"/>
    <w:rsid w:val="003A22DF"/>
    <w:rsid w:val="003A2CE2"/>
    <w:rsid w:val="003A32E7"/>
    <w:rsid w:val="003A41BF"/>
    <w:rsid w:val="003A4AB0"/>
    <w:rsid w:val="003A4CFF"/>
    <w:rsid w:val="003A6ADE"/>
    <w:rsid w:val="003B2E05"/>
    <w:rsid w:val="003B34EE"/>
    <w:rsid w:val="003B48FA"/>
    <w:rsid w:val="003B510E"/>
    <w:rsid w:val="003B609D"/>
    <w:rsid w:val="003B6D25"/>
    <w:rsid w:val="003C2A54"/>
    <w:rsid w:val="003C3014"/>
    <w:rsid w:val="003C3AA5"/>
    <w:rsid w:val="003C5168"/>
    <w:rsid w:val="003C5A6C"/>
    <w:rsid w:val="003C6AB2"/>
    <w:rsid w:val="003C7B63"/>
    <w:rsid w:val="003D0D1F"/>
    <w:rsid w:val="003D16FF"/>
    <w:rsid w:val="003D4179"/>
    <w:rsid w:val="003D41FF"/>
    <w:rsid w:val="003D4702"/>
    <w:rsid w:val="003D48B9"/>
    <w:rsid w:val="003D5532"/>
    <w:rsid w:val="003D57DE"/>
    <w:rsid w:val="003D5EF7"/>
    <w:rsid w:val="003D6F00"/>
    <w:rsid w:val="003D7D77"/>
    <w:rsid w:val="003E119B"/>
    <w:rsid w:val="003E180A"/>
    <w:rsid w:val="003E2BBA"/>
    <w:rsid w:val="003E3259"/>
    <w:rsid w:val="003E39D6"/>
    <w:rsid w:val="003E6425"/>
    <w:rsid w:val="003F0595"/>
    <w:rsid w:val="003F0ED4"/>
    <w:rsid w:val="003F24D2"/>
    <w:rsid w:val="003F321F"/>
    <w:rsid w:val="003F3447"/>
    <w:rsid w:val="003F4992"/>
    <w:rsid w:val="003F5B82"/>
    <w:rsid w:val="003F610A"/>
    <w:rsid w:val="0040084B"/>
    <w:rsid w:val="004008E6"/>
    <w:rsid w:val="0040136E"/>
    <w:rsid w:val="004019EC"/>
    <w:rsid w:val="00401C49"/>
    <w:rsid w:val="00402F32"/>
    <w:rsid w:val="004031DB"/>
    <w:rsid w:val="0040392E"/>
    <w:rsid w:val="00404786"/>
    <w:rsid w:val="00404A6E"/>
    <w:rsid w:val="00404E1C"/>
    <w:rsid w:val="00405278"/>
    <w:rsid w:val="0040568B"/>
    <w:rsid w:val="00405821"/>
    <w:rsid w:val="00405E4A"/>
    <w:rsid w:val="00406177"/>
    <w:rsid w:val="00406E90"/>
    <w:rsid w:val="0040740A"/>
    <w:rsid w:val="0041000B"/>
    <w:rsid w:val="004102DD"/>
    <w:rsid w:val="004104A6"/>
    <w:rsid w:val="00410514"/>
    <w:rsid w:val="004107B3"/>
    <w:rsid w:val="00410B45"/>
    <w:rsid w:val="00412B36"/>
    <w:rsid w:val="00413F3E"/>
    <w:rsid w:val="00415D3C"/>
    <w:rsid w:val="004164FA"/>
    <w:rsid w:val="00417AEB"/>
    <w:rsid w:val="00420DA2"/>
    <w:rsid w:val="004222A8"/>
    <w:rsid w:val="0042231C"/>
    <w:rsid w:val="004239A0"/>
    <w:rsid w:val="00423A53"/>
    <w:rsid w:val="00424ADC"/>
    <w:rsid w:val="00424E01"/>
    <w:rsid w:val="00426329"/>
    <w:rsid w:val="0042659E"/>
    <w:rsid w:val="0042663D"/>
    <w:rsid w:val="0042748B"/>
    <w:rsid w:val="0042766C"/>
    <w:rsid w:val="00430ED4"/>
    <w:rsid w:val="00431EC8"/>
    <w:rsid w:val="004322E4"/>
    <w:rsid w:val="00432E5B"/>
    <w:rsid w:val="0043341C"/>
    <w:rsid w:val="004339A7"/>
    <w:rsid w:val="00434618"/>
    <w:rsid w:val="00434F0F"/>
    <w:rsid w:val="00435970"/>
    <w:rsid w:val="00435A67"/>
    <w:rsid w:val="00436BD1"/>
    <w:rsid w:val="00442DF7"/>
    <w:rsid w:val="0044463D"/>
    <w:rsid w:val="0044709F"/>
    <w:rsid w:val="00453639"/>
    <w:rsid w:val="00454749"/>
    <w:rsid w:val="00455E1D"/>
    <w:rsid w:val="00455E69"/>
    <w:rsid w:val="004561FD"/>
    <w:rsid w:val="0045709E"/>
    <w:rsid w:val="00457385"/>
    <w:rsid w:val="004621A9"/>
    <w:rsid w:val="004652BD"/>
    <w:rsid w:val="00465E38"/>
    <w:rsid w:val="00466A04"/>
    <w:rsid w:val="00466C03"/>
    <w:rsid w:val="00467A33"/>
    <w:rsid w:val="00467BCE"/>
    <w:rsid w:val="00470DD5"/>
    <w:rsid w:val="00471B6D"/>
    <w:rsid w:val="00473784"/>
    <w:rsid w:val="00474C3A"/>
    <w:rsid w:val="00475DAB"/>
    <w:rsid w:val="00476F5B"/>
    <w:rsid w:val="004770CC"/>
    <w:rsid w:val="0048014C"/>
    <w:rsid w:val="0048026F"/>
    <w:rsid w:val="004820CA"/>
    <w:rsid w:val="00482D1C"/>
    <w:rsid w:val="0048326F"/>
    <w:rsid w:val="0048573C"/>
    <w:rsid w:val="00485B09"/>
    <w:rsid w:val="00486659"/>
    <w:rsid w:val="0048795F"/>
    <w:rsid w:val="004909B3"/>
    <w:rsid w:val="00491021"/>
    <w:rsid w:val="0049133C"/>
    <w:rsid w:val="004914B3"/>
    <w:rsid w:val="004920D8"/>
    <w:rsid w:val="00492213"/>
    <w:rsid w:val="004935A9"/>
    <w:rsid w:val="0049456C"/>
    <w:rsid w:val="00494ED2"/>
    <w:rsid w:val="0049683B"/>
    <w:rsid w:val="0049730F"/>
    <w:rsid w:val="00497818"/>
    <w:rsid w:val="004A2D36"/>
    <w:rsid w:val="004A3C73"/>
    <w:rsid w:val="004A4598"/>
    <w:rsid w:val="004A5742"/>
    <w:rsid w:val="004A6960"/>
    <w:rsid w:val="004B0F7F"/>
    <w:rsid w:val="004B175B"/>
    <w:rsid w:val="004B25F4"/>
    <w:rsid w:val="004B2C3A"/>
    <w:rsid w:val="004B4CCB"/>
    <w:rsid w:val="004B636E"/>
    <w:rsid w:val="004B63CE"/>
    <w:rsid w:val="004B7217"/>
    <w:rsid w:val="004C0C15"/>
    <w:rsid w:val="004C0CEF"/>
    <w:rsid w:val="004C100E"/>
    <w:rsid w:val="004C1020"/>
    <w:rsid w:val="004C193D"/>
    <w:rsid w:val="004C31FB"/>
    <w:rsid w:val="004C50DA"/>
    <w:rsid w:val="004C50EB"/>
    <w:rsid w:val="004C5654"/>
    <w:rsid w:val="004C59B2"/>
    <w:rsid w:val="004C609B"/>
    <w:rsid w:val="004C6D30"/>
    <w:rsid w:val="004C6FF9"/>
    <w:rsid w:val="004C757D"/>
    <w:rsid w:val="004D059D"/>
    <w:rsid w:val="004D1231"/>
    <w:rsid w:val="004D24AE"/>
    <w:rsid w:val="004D467C"/>
    <w:rsid w:val="004D5C2F"/>
    <w:rsid w:val="004D73CD"/>
    <w:rsid w:val="004D78BC"/>
    <w:rsid w:val="004E061D"/>
    <w:rsid w:val="004E1638"/>
    <w:rsid w:val="004E1AE6"/>
    <w:rsid w:val="004E2EFD"/>
    <w:rsid w:val="004E4172"/>
    <w:rsid w:val="004E6053"/>
    <w:rsid w:val="004E6CEB"/>
    <w:rsid w:val="004E6F0F"/>
    <w:rsid w:val="004E78FB"/>
    <w:rsid w:val="004F01C2"/>
    <w:rsid w:val="004F1587"/>
    <w:rsid w:val="004F1CBF"/>
    <w:rsid w:val="004F31A8"/>
    <w:rsid w:val="004F5375"/>
    <w:rsid w:val="004F561B"/>
    <w:rsid w:val="004F644C"/>
    <w:rsid w:val="004F6CD8"/>
    <w:rsid w:val="004F7319"/>
    <w:rsid w:val="005019E4"/>
    <w:rsid w:val="00501D1A"/>
    <w:rsid w:val="005028A0"/>
    <w:rsid w:val="005037E2"/>
    <w:rsid w:val="005037FD"/>
    <w:rsid w:val="00504E17"/>
    <w:rsid w:val="005052F3"/>
    <w:rsid w:val="005070C9"/>
    <w:rsid w:val="00511AE2"/>
    <w:rsid w:val="00511D72"/>
    <w:rsid w:val="0051201C"/>
    <w:rsid w:val="00513084"/>
    <w:rsid w:val="00513D4E"/>
    <w:rsid w:val="005142C4"/>
    <w:rsid w:val="00515977"/>
    <w:rsid w:val="00517787"/>
    <w:rsid w:val="00520076"/>
    <w:rsid w:val="00520529"/>
    <w:rsid w:val="00520CAD"/>
    <w:rsid w:val="005212D3"/>
    <w:rsid w:val="00522062"/>
    <w:rsid w:val="00523D6D"/>
    <w:rsid w:val="00524323"/>
    <w:rsid w:val="00525210"/>
    <w:rsid w:val="00525C49"/>
    <w:rsid w:val="0052607A"/>
    <w:rsid w:val="00527CEB"/>
    <w:rsid w:val="00531B08"/>
    <w:rsid w:val="00533088"/>
    <w:rsid w:val="0053310D"/>
    <w:rsid w:val="005335F7"/>
    <w:rsid w:val="00533A6B"/>
    <w:rsid w:val="00537819"/>
    <w:rsid w:val="00537942"/>
    <w:rsid w:val="0053794B"/>
    <w:rsid w:val="00537AED"/>
    <w:rsid w:val="005401DB"/>
    <w:rsid w:val="00540672"/>
    <w:rsid w:val="00541206"/>
    <w:rsid w:val="0054186B"/>
    <w:rsid w:val="005423F6"/>
    <w:rsid w:val="005426F7"/>
    <w:rsid w:val="00542DB9"/>
    <w:rsid w:val="00543BD4"/>
    <w:rsid w:val="005448F8"/>
    <w:rsid w:val="00544966"/>
    <w:rsid w:val="00544C04"/>
    <w:rsid w:val="005476C4"/>
    <w:rsid w:val="00547FDC"/>
    <w:rsid w:val="00551763"/>
    <w:rsid w:val="005525FD"/>
    <w:rsid w:val="0055288A"/>
    <w:rsid w:val="00552D85"/>
    <w:rsid w:val="0055365F"/>
    <w:rsid w:val="00554082"/>
    <w:rsid w:val="0055546C"/>
    <w:rsid w:val="00555719"/>
    <w:rsid w:val="00555A0F"/>
    <w:rsid w:val="005566F0"/>
    <w:rsid w:val="0055719C"/>
    <w:rsid w:val="00562EE1"/>
    <w:rsid w:val="00565BBE"/>
    <w:rsid w:val="00566102"/>
    <w:rsid w:val="0056687D"/>
    <w:rsid w:val="00566CB2"/>
    <w:rsid w:val="005702DF"/>
    <w:rsid w:val="00570411"/>
    <w:rsid w:val="00572888"/>
    <w:rsid w:val="00572DB5"/>
    <w:rsid w:val="00572F3A"/>
    <w:rsid w:val="0057329F"/>
    <w:rsid w:val="0057365D"/>
    <w:rsid w:val="00573733"/>
    <w:rsid w:val="00574FF2"/>
    <w:rsid w:val="0057574A"/>
    <w:rsid w:val="00576E2A"/>
    <w:rsid w:val="005776BC"/>
    <w:rsid w:val="00581D7E"/>
    <w:rsid w:val="00582E92"/>
    <w:rsid w:val="00583632"/>
    <w:rsid w:val="00584D9A"/>
    <w:rsid w:val="00586728"/>
    <w:rsid w:val="005910E9"/>
    <w:rsid w:val="00593B97"/>
    <w:rsid w:val="005978B4"/>
    <w:rsid w:val="005A077C"/>
    <w:rsid w:val="005A0A60"/>
    <w:rsid w:val="005A13E4"/>
    <w:rsid w:val="005A2BD2"/>
    <w:rsid w:val="005A3455"/>
    <w:rsid w:val="005A659E"/>
    <w:rsid w:val="005A6B6F"/>
    <w:rsid w:val="005A714A"/>
    <w:rsid w:val="005A7716"/>
    <w:rsid w:val="005B0983"/>
    <w:rsid w:val="005B427C"/>
    <w:rsid w:val="005B4478"/>
    <w:rsid w:val="005B545F"/>
    <w:rsid w:val="005B585E"/>
    <w:rsid w:val="005B5E04"/>
    <w:rsid w:val="005B7C21"/>
    <w:rsid w:val="005C187F"/>
    <w:rsid w:val="005C383B"/>
    <w:rsid w:val="005C4B2F"/>
    <w:rsid w:val="005C4C4E"/>
    <w:rsid w:val="005C58B7"/>
    <w:rsid w:val="005C7AE3"/>
    <w:rsid w:val="005C7D9B"/>
    <w:rsid w:val="005D0E82"/>
    <w:rsid w:val="005D0E88"/>
    <w:rsid w:val="005D1705"/>
    <w:rsid w:val="005D173A"/>
    <w:rsid w:val="005D27CF"/>
    <w:rsid w:val="005D2DF7"/>
    <w:rsid w:val="005D4F2A"/>
    <w:rsid w:val="005D7A62"/>
    <w:rsid w:val="005E02E9"/>
    <w:rsid w:val="005E0629"/>
    <w:rsid w:val="005E142D"/>
    <w:rsid w:val="005E1691"/>
    <w:rsid w:val="005E1880"/>
    <w:rsid w:val="005E3101"/>
    <w:rsid w:val="005E4327"/>
    <w:rsid w:val="005E5512"/>
    <w:rsid w:val="005E6C00"/>
    <w:rsid w:val="005E790A"/>
    <w:rsid w:val="005E7F0C"/>
    <w:rsid w:val="005F0727"/>
    <w:rsid w:val="005F0838"/>
    <w:rsid w:val="005F1331"/>
    <w:rsid w:val="005F196F"/>
    <w:rsid w:val="005F1FA0"/>
    <w:rsid w:val="005F4A50"/>
    <w:rsid w:val="005F7120"/>
    <w:rsid w:val="005F7587"/>
    <w:rsid w:val="00601561"/>
    <w:rsid w:val="00603372"/>
    <w:rsid w:val="006038B8"/>
    <w:rsid w:val="00607A3B"/>
    <w:rsid w:val="00610DE9"/>
    <w:rsid w:val="00610FED"/>
    <w:rsid w:val="00611349"/>
    <w:rsid w:val="006119C2"/>
    <w:rsid w:val="00612DC0"/>
    <w:rsid w:val="00614254"/>
    <w:rsid w:val="0061447F"/>
    <w:rsid w:val="006178A2"/>
    <w:rsid w:val="00617B78"/>
    <w:rsid w:val="00620716"/>
    <w:rsid w:val="00622323"/>
    <w:rsid w:val="0062290E"/>
    <w:rsid w:val="0062336D"/>
    <w:rsid w:val="00623566"/>
    <w:rsid w:val="00623625"/>
    <w:rsid w:val="00627508"/>
    <w:rsid w:val="00627DD6"/>
    <w:rsid w:val="006304DC"/>
    <w:rsid w:val="006311B1"/>
    <w:rsid w:val="006329A6"/>
    <w:rsid w:val="00633FDC"/>
    <w:rsid w:val="006350B3"/>
    <w:rsid w:val="006351AB"/>
    <w:rsid w:val="006357B7"/>
    <w:rsid w:val="00640159"/>
    <w:rsid w:val="00641465"/>
    <w:rsid w:val="0064213D"/>
    <w:rsid w:val="006436B3"/>
    <w:rsid w:val="00643B12"/>
    <w:rsid w:val="00644698"/>
    <w:rsid w:val="006514C2"/>
    <w:rsid w:val="00651B4D"/>
    <w:rsid w:val="0065328B"/>
    <w:rsid w:val="006535B3"/>
    <w:rsid w:val="00653882"/>
    <w:rsid w:val="00654231"/>
    <w:rsid w:val="006550A8"/>
    <w:rsid w:val="006553AF"/>
    <w:rsid w:val="006554B6"/>
    <w:rsid w:val="006556BE"/>
    <w:rsid w:val="00655B6B"/>
    <w:rsid w:val="00660D83"/>
    <w:rsid w:val="00661E84"/>
    <w:rsid w:val="00662C63"/>
    <w:rsid w:val="00663942"/>
    <w:rsid w:val="00664D5A"/>
    <w:rsid w:val="006659DA"/>
    <w:rsid w:val="00666BAD"/>
    <w:rsid w:val="0066712E"/>
    <w:rsid w:val="0066757F"/>
    <w:rsid w:val="00670E14"/>
    <w:rsid w:val="00671000"/>
    <w:rsid w:val="006728B0"/>
    <w:rsid w:val="00673C51"/>
    <w:rsid w:val="006753E8"/>
    <w:rsid w:val="00675402"/>
    <w:rsid w:val="00675D37"/>
    <w:rsid w:val="00677C58"/>
    <w:rsid w:val="0068033C"/>
    <w:rsid w:val="00682925"/>
    <w:rsid w:val="00682C99"/>
    <w:rsid w:val="00682E85"/>
    <w:rsid w:val="0068471A"/>
    <w:rsid w:val="00684B1A"/>
    <w:rsid w:val="00684E4D"/>
    <w:rsid w:val="00686EF0"/>
    <w:rsid w:val="00687A41"/>
    <w:rsid w:val="00690120"/>
    <w:rsid w:val="00690165"/>
    <w:rsid w:val="00690ACC"/>
    <w:rsid w:val="00690E5E"/>
    <w:rsid w:val="0069296C"/>
    <w:rsid w:val="00692D34"/>
    <w:rsid w:val="0069678E"/>
    <w:rsid w:val="00697ABC"/>
    <w:rsid w:val="00697F8B"/>
    <w:rsid w:val="006A1F3C"/>
    <w:rsid w:val="006A34A2"/>
    <w:rsid w:val="006A3562"/>
    <w:rsid w:val="006A37D3"/>
    <w:rsid w:val="006A3C58"/>
    <w:rsid w:val="006A40FE"/>
    <w:rsid w:val="006A4A45"/>
    <w:rsid w:val="006A77EC"/>
    <w:rsid w:val="006B0EDC"/>
    <w:rsid w:val="006B10AE"/>
    <w:rsid w:val="006B3965"/>
    <w:rsid w:val="006B610E"/>
    <w:rsid w:val="006B732A"/>
    <w:rsid w:val="006C1422"/>
    <w:rsid w:val="006C6114"/>
    <w:rsid w:val="006C780D"/>
    <w:rsid w:val="006C7EBE"/>
    <w:rsid w:val="006D1DB6"/>
    <w:rsid w:val="006D26CD"/>
    <w:rsid w:val="006D3A1A"/>
    <w:rsid w:val="006D3F35"/>
    <w:rsid w:val="006D4767"/>
    <w:rsid w:val="006D5BDD"/>
    <w:rsid w:val="006D7BC0"/>
    <w:rsid w:val="006D7C90"/>
    <w:rsid w:val="006E0303"/>
    <w:rsid w:val="006E1335"/>
    <w:rsid w:val="006E2069"/>
    <w:rsid w:val="006E3EE7"/>
    <w:rsid w:val="006E43FF"/>
    <w:rsid w:val="006E4A19"/>
    <w:rsid w:val="006E7FAA"/>
    <w:rsid w:val="006F013E"/>
    <w:rsid w:val="006F0461"/>
    <w:rsid w:val="006F09EC"/>
    <w:rsid w:val="006F20D3"/>
    <w:rsid w:val="006F2A2D"/>
    <w:rsid w:val="006F59C2"/>
    <w:rsid w:val="00704416"/>
    <w:rsid w:val="00706076"/>
    <w:rsid w:val="00711B47"/>
    <w:rsid w:val="007126D4"/>
    <w:rsid w:val="0071537C"/>
    <w:rsid w:val="00715592"/>
    <w:rsid w:val="00715CE0"/>
    <w:rsid w:val="00717247"/>
    <w:rsid w:val="00717466"/>
    <w:rsid w:val="00720397"/>
    <w:rsid w:val="0072092D"/>
    <w:rsid w:val="00720C02"/>
    <w:rsid w:val="00720EC6"/>
    <w:rsid w:val="007215A1"/>
    <w:rsid w:val="007232CD"/>
    <w:rsid w:val="00723BB0"/>
    <w:rsid w:val="007246C9"/>
    <w:rsid w:val="007312E5"/>
    <w:rsid w:val="00731F1F"/>
    <w:rsid w:val="007342B7"/>
    <w:rsid w:val="00735145"/>
    <w:rsid w:val="00735CA7"/>
    <w:rsid w:val="007369A6"/>
    <w:rsid w:val="0074079D"/>
    <w:rsid w:val="0074264F"/>
    <w:rsid w:val="007462E8"/>
    <w:rsid w:val="00746FE0"/>
    <w:rsid w:val="007473FF"/>
    <w:rsid w:val="00747695"/>
    <w:rsid w:val="0074777D"/>
    <w:rsid w:val="007518B2"/>
    <w:rsid w:val="007519A4"/>
    <w:rsid w:val="00751C3A"/>
    <w:rsid w:val="00753BB4"/>
    <w:rsid w:val="007549F7"/>
    <w:rsid w:val="00755634"/>
    <w:rsid w:val="007567B4"/>
    <w:rsid w:val="0075744A"/>
    <w:rsid w:val="00760167"/>
    <w:rsid w:val="00760439"/>
    <w:rsid w:val="007652D3"/>
    <w:rsid w:val="007653E1"/>
    <w:rsid w:val="007654BE"/>
    <w:rsid w:val="007654E1"/>
    <w:rsid w:val="00765D23"/>
    <w:rsid w:val="0076746F"/>
    <w:rsid w:val="007705A1"/>
    <w:rsid w:val="007706D1"/>
    <w:rsid w:val="00772245"/>
    <w:rsid w:val="00773C32"/>
    <w:rsid w:val="007761BB"/>
    <w:rsid w:val="00777B44"/>
    <w:rsid w:val="00777BBC"/>
    <w:rsid w:val="00781EB2"/>
    <w:rsid w:val="00782307"/>
    <w:rsid w:val="00782355"/>
    <w:rsid w:val="00782A3A"/>
    <w:rsid w:val="00783585"/>
    <w:rsid w:val="007858BF"/>
    <w:rsid w:val="0078653E"/>
    <w:rsid w:val="00786FC6"/>
    <w:rsid w:val="0078701B"/>
    <w:rsid w:val="00787043"/>
    <w:rsid w:val="0078710C"/>
    <w:rsid w:val="0079038F"/>
    <w:rsid w:val="007907BF"/>
    <w:rsid w:val="0079095A"/>
    <w:rsid w:val="00791289"/>
    <w:rsid w:val="00791C6A"/>
    <w:rsid w:val="00793B1C"/>
    <w:rsid w:val="00793DB6"/>
    <w:rsid w:val="007941A3"/>
    <w:rsid w:val="0079653C"/>
    <w:rsid w:val="00796678"/>
    <w:rsid w:val="00796C79"/>
    <w:rsid w:val="00796D17"/>
    <w:rsid w:val="00796D79"/>
    <w:rsid w:val="007A037D"/>
    <w:rsid w:val="007A05EF"/>
    <w:rsid w:val="007A3042"/>
    <w:rsid w:val="007A3522"/>
    <w:rsid w:val="007A48C4"/>
    <w:rsid w:val="007A561B"/>
    <w:rsid w:val="007A5A25"/>
    <w:rsid w:val="007A77A9"/>
    <w:rsid w:val="007B2888"/>
    <w:rsid w:val="007B2DDE"/>
    <w:rsid w:val="007B4E55"/>
    <w:rsid w:val="007B561A"/>
    <w:rsid w:val="007B7337"/>
    <w:rsid w:val="007C0561"/>
    <w:rsid w:val="007C3835"/>
    <w:rsid w:val="007C470F"/>
    <w:rsid w:val="007C65D0"/>
    <w:rsid w:val="007C6D2F"/>
    <w:rsid w:val="007C704E"/>
    <w:rsid w:val="007C7555"/>
    <w:rsid w:val="007C758A"/>
    <w:rsid w:val="007C7921"/>
    <w:rsid w:val="007D0F48"/>
    <w:rsid w:val="007D476D"/>
    <w:rsid w:val="007D4E9B"/>
    <w:rsid w:val="007D5E1A"/>
    <w:rsid w:val="007D7881"/>
    <w:rsid w:val="007E09AA"/>
    <w:rsid w:val="007E1094"/>
    <w:rsid w:val="007E1A00"/>
    <w:rsid w:val="007E3B10"/>
    <w:rsid w:val="007E407D"/>
    <w:rsid w:val="007E43D3"/>
    <w:rsid w:val="007E48F0"/>
    <w:rsid w:val="007E4A96"/>
    <w:rsid w:val="007E4B79"/>
    <w:rsid w:val="007E52B0"/>
    <w:rsid w:val="007E53DB"/>
    <w:rsid w:val="007F1495"/>
    <w:rsid w:val="007F1FB4"/>
    <w:rsid w:val="007F25DB"/>
    <w:rsid w:val="007F2BFF"/>
    <w:rsid w:val="007F2D9A"/>
    <w:rsid w:val="007F40E5"/>
    <w:rsid w:val="007F4F36"/>
    <w:rsid w:val="007F5622"/>
    <w:rsid w:val="007F5A44"/>
    <w:rsid w:val="007F64DA"/>
    <w:rsid w:val="007F6CBE"/>
    <w:rsid w:val="007F6EE8"/>
    <w:rsid w:val="0080142B"/>
    <w:rsid w:val="00802500"/>
    <w:rsid w:val="00804141"/>
    <w:rsid w:val="0080596B"/>
    <w:rsid w:val="0080619C"/>
    <w:rsid w:val="008075D0"/>
    <w:rsid w:val="00812BA9"/>
    <w:rsid w:val="00813FFC"/>
    <w:rsid w:val="00814481"/>
    <w:rsid w:val="008179E3"/>
    <w:rsid w:val="00817CDD"/>
    <w:rsid w:val="0082029B"/>
    <w:rsid w:val="0082047D"/>
    <w:rsid w:val="00821C49"/>
    <w:rsid w:val="008229AF"/>
    <w:rsid w:val="00822DF7"/>
    <w:rsid w:val="00822E89"/>
    <w:rsid w:val="008239EA"/>
    <w:rsid w:val="00823E80"/>
    <w:rsid w:val="0082598B"/>
    <w:rsid w:val="00825E60"/>
    <w:rsid w:val="008269B9"/>
    <w:rsid w:val="00827022"/>
    <w:rsid w:val="008274F1"/>
    <w:rsid w:val="008279EC"/>
    <w:rsid w:val="00827C60"/>
    <w:rsid w:val="008314FD"/>
    <w:rsid w:val="008330A9"/>
    <w:rsid w:val="008338EE"/>
    <w:rsid w:val="00835353"/>
    <w:rsid w:val="00840050"/>
    <w:rsid w:val="008414DB"/>
    <w:rsid w:val="00841B30"/>
    <w:rsid w:val="00841F5D"/>
    <w:rsid w:val="0084321F"/>
    <w:rsid w:val="00843712"/>
    <w:rsid w:val="00844E73"/>
    <w:rsid w:val="008453BC"/>
    <w:rsid w:val="00845A8C"/>
    <w:rsid w:val="00846679"/>
    <w:rsid w:val="00846900"/>
    <w:rsid w:val="00850776"/>
    <w:rsid w:val="0085221D"/>
    <w:rsid w:val="00853304"/>
    <w:rsid w:val="00854800"/>
    <w:rsid w:val="0085572A"/>
    <w:rsid w:val="008561A5"/>
    <w:rsid w:val="00856DA2"/>
    <w:rsid w:val="00856F3C"/>
    <w:rsid w:val="0085758E"/>
    <w:rsid w:val="00860528"/>
    <w:rsid w:val="0086097C"/>
    <w:rsid w:val="00861A34"/>
    <w:rsid w:val="00863722"/>
    <w:rsid w:val="00864B72"/>
    <w:rsid w:val="00864FE4"/>
    <w:rsid w:val="0086529A"/>
    <w:rsid w:val="008668C5"/>
    <w:rsid w:val="008700E1"/>
    <w:rsid w:val="00870A8A"/>
    <w:rsid w:val="0087163E"/>
    <w:rsid w:val="0087523D"/>
    <w:rsid w:val="00875C78"/>
    <w:rsid w:val="0087683D"/>
    <w:rsid w:val="00876B1D"/>
    <w:rsid w:val="008777D4"/>
    <w:rsid w:val="00877820"/>
    <w:rsid w:val="008815D1"/>
    <w:rsid w:val="0088243F"/>
    <w:rsid w:val="00882CC6"/>
    <w:rsid w:val="008839C7"/>
    <w:rsid w:val="00883BBF"/>
    <w:rsid w:val="0088511A"/>
    <w:rsid w:val="0088519F"/>
    <w:rsid w:val="00886D33"/>
    <w:rsid w:val="00890003"/>
    <w:rsid w:val="00890350"/>
    <w:rsid w:val="00890674"/>
    <w:rsid w:val="008912E3"/>
    <w:rsid w:val="00891587"/>
    <w:rsid w:val="00892161"/>
    <w:rsid w:val="00893959"/>
    <w:rsid w:val="00893FC2"/>
    <w:rsid w:val="0089452A"/>
    <w:rsid w:val="008948E6"/>
    <w:rsid w:val="00894E31"/>
    <w:rsid w:val="00896295"/>
    <w:rsid w:val="00896980"/>
    <w:rsid w:val="008A09AE"/>
    <w:rsid w:val="008A1281"/>
    <w:rsid w:val="008A2A52"/>
    <w:rsid w:val="008A4386"/>
    <w:rsid w:val="008A483C"/>
    <w:rsid w:val="008A5D95"/>
    <w:rsid w:val="008A6251"/>
    <w:rsid w:val="008A6A24"/>
    <w:rsid w:val="008A7A51"/>
    <w:rsid w:val="008B201E"/>
    <w:rsid w:val="008B3684"/>
    <w:rsid w:val="008B4749"/>
    <w:rsid w:val="008B739B"/>
    <w:rsid w:val="008C00E4"/>
    <w:rsid w:val="008C019E"/>
    <w:rsid w:val="008C050D"/>
    <w:rsid w:val="008C0F23"/>
    <w:rsid w:val="008C16E7"/>
    <w:rsid w:val="008C1BAC"/>
    <w:rsid w:val="008C22FF"/>
    <w:rsid w:val="008C2B47"/>
    <w:rsid w:val="008C421B"/>
    <w:rsid w:val="008C4331"/>
    <w:rsid w:val="008C443B"/>
    <w:rsid w:val="008C4575"/>
    <w:rsid w:val="008C489F"/>
    <w:rsid w:val="008C4C09"/>
    <w:rsid w:val="008C4D17"/>
    <w:rsid w:val="008D1B98"/>
    <w:rsid w:val="008D2E14"/>
    <w:rsid w:val="008D39A3"/>
    <w:rsid w:val="008D4197"/>
    <w:rsid w:val="008D5F0A"/>
    <w:rsid w:val="008D6148"/>
    <w:rsid w:val="008D6C06"/>
    <w:rsid w:val="008E1789"/>
    <w:rsid w:val="008E21AE"/>
    <w:rsid w:val="008E2572"/>
    <w:rsid w:val="008E25FA"/>
    <w:rsid w:val="008E3272"/>
    <w:rsid w:val="008E45E8"/>
    <w:rsid w:val="008E4E92"/>
    <w:rsid w:val="008E51EA"/>
    <w:rsid w:val="008E6080"/>
    <w:rsid w:val="008E62CE"/>
    <w:rsid w:val="008E6D51"/>
    <w:rsid w:val="008F0026"/>
    <w:rsid w:val="008F04DD"/>
    <w:rsid w:val="008F1BEB"/>
    <w:rsid w:val="008F2051"/>
    <w:rsid w:val="008F2831"/>
    <w:rsid w:val="008F2E94"/>
    <w:rsid w:val="008F3004"/>
    <w:rsid w:val="008F3419"/>
    <w:rsid w:val="008F3D74"/>
    <w:rsid w:val="008F3DB8"/>
    <w:rsid w:val="008F639A"/>
    <w:rsid w:val="009001FD"/>
    <w:rsid w:val="00900E9A"/>
    <w:rsid w:val="00901302"/>
    <w:rsid w:val="00901BE2"/>
    <w:rsid w:val="009029A0"/>
    <w:rsid w:val="009032A4"/>
    <w:rsid w:val="009066F2"/>
    <w:rsid w:val="009100D4"/>
    <w:rsid w:val="009116AD"/>
    <w:rsid w:val="00912CCB"/>
    <w:rsid w:val="00917437"/>
    <w:rsid w:val="009174A1"/>
    <w:rsid w:val="009217C3"/>
    <w:rsid w:val="00922478"/>
    <w:rsid w:val="00924464"/>
    <w:rsid w:val="009272EB"/>
    <w:rsid w:val="009274A2"/>
    <w:rsid w:val="009305FB"/>
    <w:rsid w:val="009308C8"/>
    <w:rsid w:val="009309D4"/>
    <w:rsid w:val="00930C3F"/>
    <w:rsid w:val="00931C10"/>
    <w:rsid w:val="00932609"/>
    <w:rsid w:val="00933821"/>
    <w:rsid w:val="00933CBF"/>
    <w:rsid w:val="00934620"/>
    <w:rsid w:val="0093509A"/>
    <w:rsid w:val="0093515B"/>
    <w:rsid w:val="0093797F"/>
    <w:rsid w:val="00937E47"/>
    <w:rsid w:val="00940E73"/>
    <w:rsid w:val="00940FD9"/>
    <w:rsid w:val="00941E08"/>
    <w:rsid w:val="00941F67"/>
    <w:rsid w:val="00943CFB"/>
    <w:rsid w:val="00944891"/>
    <w:rsid w:val="00945691"/>
    <w:rsid w:val="00946668"/>
    <w:rsid w:val="00946F6A"/>
    <w:rsid w:val="009470B3"/>
    <w:rsid w:val="00947297"/>
    <w:rsid w:val="009476AD"/>
    <w:rsid w:val="009479B2"/>
    <w:rsid w:val="0095046D"/>
    <w:rsid w:val="00956374"/>
    <w:rsid w:val="00957773"/>
    <w:rsid w:val="00960592"/>
    <w:rsid w:val="0096094A"/>
    <w:rsid w:val="009613ED"/>
    <w:rsid w:val="00961749"/>
    <w:rsid w:val="009636ED"/>
    <w:rsid w:val="00963926"/>
    <w:rsid w:val="00964FE9"/>
    <w:rsid w:val="00970BC1"/>
    <w:rsid w:val="00971692"/>
    <w:rsid w:val="00971A09"/>
    <w:rsid w:val="00971B88"/>
    <w:rsid w:val="00973686"/>
    <w:rsid w:val="00975C83"/>
    <w:rsid w:val="0098048A"/>
    <w:rsid w:val="00981312"/>
    <w:rsid w:val="00981AFA"/>
    <w:rsid w:val="009821D1"/>
    <w:rsid w:val="00982A34"/>
    <w:rsid w:val="00984B67"/>
    <w:rsid w:val="00987F9E"/>
    <w:rsid w:val="00990180"/>
    <w:rsid w:val="00990AB7"/>
    <w:rsid w:val="00990C47"/>
    <w:rsid w:val="009911C4"/>
    <w:rsid w:val="00991FFF"/>
    <w:rsid w:val="009933E8"/>
    <w:rsid w:val="00994188"/>
    <w:rsid w:val="009944AF"/>
    <w:rsid w:val="009944B7"/>
    <w:rsid w:val="0099460D"/>
    <w:rsid w:val="009946B9"/>
    <w:rsid w:val="00995E3A"/>
    <w:rsid w:val="009A48A1"/>
    <w:rsid w:val="009A4C94"/>
    <w:rsid w:val="009A71A9"/>
    <w:rsid w:val="009B056E"/>
    <w:rsid w:val="009B129C"/>
    <w:rsid w:val="009B1A22"/>
    <w:rsid w:val="009B23E7"/>
    <w:rsid w:val="009B2910"/>
    <w:rsid w:val="009B3136"/>
    <w:rsid w:val="009B38CF"/>
    <w:rsid w:val="009B4598"/>
    <w:rsid w:val="009B5CA2"/>
    <w:rsid w:val="009B6909"/>
    <w:rsid w:val="009B7A59"/>
    <w:rsid w:val="009B7D1B"/>
    <w:rsid w:val="009B7E06"/>
    <w:rsid w:val="009B7E19"/>
    <w:rsid w:val="009C1900"/>
    <w:rsid w:val="009C1EEE"/>
    <w:rsid w:val="009C1F3F"/>
    <w:rsid w:val="009C5BFD"/>
    <w:rsid w:val="009C6508"/>
    <w:rsid w:val="009C74B1"/>
    <w:rsid w:val="009D05E4"/>
    <w:rsid w:val="009D1B1E"/>
    <w:rsid w:val="009D22B5"/>
    <w:rsid w:val="009D2AFD"/>
    <w:rsid w:val="009D48A4"/>
    <w:rsid w:val="009D4C66"/>
    <w:rsid w:val="009D4E71"/>
    <w:rsid w:val="009D52A7"/>
    <w:rsid w:val="009E05B9"/>
    <w:rsid w:val="009E1B18"/>
    <w:rsid w:val="009E2594"/>
    <w:rsid w:val="009E3BDB"/>
    <w:rsid w:val="009E46E0"/>
    <w:rsid w:val="009E4DAC"/>
    <w:rsid w:val="009F01AB"/>
    <w:rsid w:val="009F0B5B"/>
    <w:rsid w:val="009F2B44"/>
    <w:rsid w:val="009F47B4"/>
    <w:rsid w:val="009F56F8"/>
    <w:rsid w:val="009F5968"/>
    <w:rsid w:val="009F5A63"/>
    <w:rsid w:val="009F7BA6"/>
    <w:rsid w:val="00A0361C"/>
    <w:rsid w:val="00A0414C"/>
    <w:rsid w:val="00A045B1"/>
    <w:rsid w:val="00A0636D"/>
    <w:rsid w:val="00A06957"/>
    <w:rsid w:val="00A07454"/>
    <w:rsid w:val="00A0786E"/>
    <w:rsid w:val="00A122AF"/>
    <w:rsid w:val="00A12AEE"/>
    <w:rsid w:val="00A12E22"/>
    <w:rsid w:val="00A13C09"/>
    <w:rsid w:val="00A13F49"/>
    <w:rsid w:val="00A1419B"/>
    <w:rsid w:val="00A1483F"/>
    <w:rsid w:val="00A1549E"/>
    <w:rsid w:val="00A15707"/>
    <w:rsid w:val="00A15F28"/>
    <w:rsid w:val="00A1605A"/>
    <w:rsid w:val="00A1635A"/>
    <w:rsid w:val="00A16448"/>
    <w:rsid w:val="00A16B55"/>
    <w:rsid w:val="00A17010"/>
    <w:rsid w:val="00A1754C"/>
    <w:rsid w:val="00A21C8E"/>
    <w:rsid w:val="00A2236F"/>
    <w:rsid w:val="00A2296D"/>
    <w:rsid w:val="00A2310E"/>
    <w:rsid w:val="00A234F6"/>
    <w:rsid w:val="00A25253"/>
    <w:rsid w:val="00A2609E"/>
    <w:rsid w:val="00A263CE"/>
    <w:rsid w:val="00A26F19"/>
    <w:rsid w:val="00A30C25"/>
    <w:rsid w:val="00A31629"/>
    <w:rsid w:val="00A31690"/>
    <w:rsid w:val="00A3174E"/>
    <w:rsid w:val="00A31A09"/>
    <w:rsid w:val="00A34682"/>
    <w:rsid w:val="00A34918"/>
    <w:rsid w:val="00A35CD0"/>
    <w:rsid w:val="00A35DD5"/>
    <w:rsid w:val="00A37137"/>
    <w:rsid w:val="00A37556"/>
    <w:rsid w:val="00A4311B"/>
    <w:rsid w:val="00A43691"/>
    <w:rsid w:val="00A439E5"/>
    <w:rsid w:val="00A45294"/>
    <w:rsid w:val="00A45E5D"/>
    <w:rsid w:val="00A47534"/>
    <w:rsid w:val="00A476A0"/>
    <w:rsid w:val="00A47EE4"/>
    <w:rsid w:val="00A50ADA"/>
    <w:rsid w:val="00A50B73"/>
    <w:rsid w:val="00A513BA"/>
    <w:rsid w:val="00A517AF"/>
    <w:rsid w:val="00A52818"/>
    <w:rsid w:val="00A52BF4"/>
    <w:rsid w:val="00A5359C"/>
    <w:rsid w:val="00A5397E"/>
    <w:rsid w:val="00A53CD5"/>
    <w:rsid w:val="00A54773"/>
    <w:rsid w:val="00A55727"/>
    <w:rsid w:val="00A55C1F"/>
    <w:rsid w:val="00A563E0"/>
    <w:rsid w:val="00A56630"/>
    <w:rsid w:val="00A572EC"/>
    <w:rsid w:val="00A575AD"/>
    <w:rsid w:val="00A57A10"/>
    <w:rsid w:val="00A625CC"/>
    <w:rsid w:val="00A626A9"/>
    <w:rsid w:val="00A64C72"/>
    <w:rsid w:val="00A64E8B"/>
    <w:rsid w:val="00A65160"/>
    <w:rsid w:val="00A651F5"/>
    <w:rsid w:val="00A65C52"/>
    <w:rsid w:val="00A6627E"/>
    <w:rsid w:val="00A67316"/>
    <w:rsid w:val="00A6752E"/>
    <w:rsid w:val="00A70FA9"/>
    <w:rsid w:val="00A735E1"/>
    <w:rsid w:val="00A73706"/>
    <w:rsid w:val="00A74BB4"/>
    <w:rsid w:val="00A74D00"/>
    <w:rsid w:val="00A75BE9"/>
    <w:rsid w:val="00A75D0D"/>
    <w:rsid w:val="00A80440"/>
    <w:rsid w:val="00A82941"/>
    <w:rsid w:val="00A83C43"/>
    <w:rsid w:val="00A8400C"/>
    <w:rsid w:val="00A84BE1"/>
    <w:rsid w:val="00A85E2A"/>
    <w:rsid w:val="00A86B26"/>
    <w:rsid w:val="00A91A93"/>
    <w:rsid w:val="00A92403"/>
    <w:rsid w:val="00A92745"/>
    <w:rsid w:val="00A92D14"/>
    <w:rsid w:val="00A92E87"/>
    <w:rsid w:val="00A93B40"/>
    <w:rsid w:val="00A93CFA"/>
    <w:rsid w:val="00A941EB"/>
    <w:rsid w:val="00A94B68"/>
    <w:rsid w:val="00A9514C"/>
    <w:rsid w:val="00A9531C"/>
    <w:rsid w:val="00A96895"/>
    <w:rsid w:val="00A96DE5"/>
    <w:rsid w:val="00A96F00"/>
    <w:rsid w:val="00A9783C"/>
    <w:rsid w:val="00AA3D99"/>
    <w:rsid w:val="00AA4E5C"/>
    <w:rsid w:val="00AA5D2E"/>
    <w:rsid w:val="00AA73E8"/>
    <w:rsid w:val="00AB063E"/>
    <w:rsid w:val="00AB0C5B"/>
    <w:rsid w:val="00AB1A81"/>
    <w:rsid w:val="00AB27D4"/>
    <w:rsid w:val="00AB5F79"/>
    <w:rsid w:val="00AB6F03"/>
    <w:rsid w:val="00AB6FF0"/>
    <w:rsid w:val="00AB77F7"/>
    <w:rsid w:val="00AC0032"/>
    <w:rsid w:val="00AC0156"/>
    <w:rsid w:val="00AC0A03"/>
    <w:rsid w:val="00AC421C"/>
    <w:rsid w:val="00AC446D"/>
    <w:rsid w:val="00AC5529"/>
    <w:rsid w:val="00AC5727"/>
    <w:rsid w:val="00AC59C9"/>
    <w:rsid w:val="00AC5C3D"/>
    <w:rsid w:val="00AC7985"/>
    <w:rsid w:val="00AD148B"/>
    <w:rsid w:val="00AD2F1A"/>
    <w:rsid w:val="00AD3BC3"/>
    <w:rsid w:val="00AD4452"/>
    <w:rsid w:val="00AD47BF"/>
    <w:rsid w:val="00AD5384"/>
    <w:rsid w:val="00AD7D0F"/>
    <w:rsid w:val="00AE000F"/>
    <w:rsid w:val="00AE4714"/>
    <w:rsid w:val="00AE661B"/>
    <w:rsid w:val="00AF0174"/>
    <w:rsid w:val="00AF048D"/>
    <w:rsid w:val="00AF2F3F"/>
    <w:rsid w:val="00AF3131"/>
    <w:rsid w:val="00AF390A"/>
    <w:rsid w:val="00AF407E"/>
    <w:rsid w:val="00AF616D"/>
    <w:rsid w:val="00AF65F5"/>
    <w:rsid w:val="00AF6995"/>
    <w:rsid w:val="00AF7BED"/>
    <w:rsid w:val="00B01042"/>
    <w:rsid w:val="00B02CE3"/>
    <w:rsid w:val="00B03AD2"/>
    <w:rsid w:val="00B0604C"/>
    <w:rsid w:val="00B07A5F"/>
    <w:rsid w:val="00B13158"/>
    <w:rsid w:val="00B1384B"/>
    <w:rsid w:val="00B13EBF"/>
    <w:rsid w:val="00B1479A"/>
    <w:rsid w:val="00B14BA1"/>
    <w:rsid w:val="00B150D1"/>
    <w:rsid w:val="00B154AF"/>
    <w:rsid w:val="00B15AD2"/>
    <w:rsid w:val="00B15EEA"/>
    <w:rsid w:val="00B179F3"/>
    <w:rsid w:val="00B17B24"/>
    <w:rsid w:val="00B22533"/>
    <w:rsid w:val="00B23CBC"/>
    <w:rsid w:val="00B2522D"/>
    <w:rsid w:val="00B25697"/>
    <w:rsid w:val="00B30D62"/>
    <w:rsid w:val="00B31777"/>
    <w:rsid w:val="00B31C09"/>
    <w:rsid w:val="00B32B29"/>
    <w:rsid w:val="00B331BF"/>
    <w:rsid w:val="00B337A8"/>
    <w:rsid w:val="00B34A4A"/>
    <w:rsid w:val="00B35773"/>
    <w:rsid w:val="00B35854"/>
    <w:rsid w:val="00B40CC7"/>
    <w:rsid w:val="00B412DE"/>
    <w:rsid w:val="00B41BE9"/>
    <w:rsid w:val="00B43544"/>
    <w:rsid w:val="00B44A89"/>
    <w:rsid w:val="00B44C74"/>
    <w:rsid w:val="00B45653"/>
    <w:rsid w:val="00B45FC9"/>
    <w:rsid w:val="00B46007"/>
    <w:rsid w:val="00B46BF1"/>
    <w:rsid w:val="00B51016"/>
    <w:rsid w:val="00B51177"/>
    <w:rsid w:val="00B51B5B"/>
    <w:rsid w:val="00B54DDA"/>
    <w:rsid w:val="00B55F43"/>
    <w:rsid w:val="00B57859"/>
    <w:rsid w:val="00B57A83"/>
    <w:rsid w:val="00B601A1"/>
    <w:rsid w:val="00B61068"/>
    <w:rsid w:val="00B6115C"/>
    <w:rsid w:val="00B6194C"/>
    <w:rsid w:val="00B620D9"/>
    <w:rsid w:val="00B621B4"/>
    <w:rsid w:val="00B62291"/>
    <w:rsid w:val="00B62A7E"/>
    <w:rsid w:val="00B64BAE"/>
    <w:rsid w:val="00B64C06"/>
    <w:rsid w:val="00B65E90"/>
    <w:rsid w:val="00B66B16"/>
    <w:rsid w:val="00B66CE2"/>
    <w:rsid w:val="00B718E1"/>
    <w:rsid w:val="00B7270D"/>
    <w:rsid w:val="00B73F47"/>
    <w:rsid w:val="00B74EB4"/>
    <w:rsid w:val="00B75010"/>
    <w:rsid w:val="00B7634E"/>
    <w:rsid w:val="00B765D2"/>
    <w:rsid w:val="00B7661B"/>
    <w:rsid w:val="00B76FFE"/>
    <w:rsid w:val="00B776D6"/>
    <w:rsid w:val="00B777D3"/>
    <w:rsid w:val="00B80DE4"/>
    <w:rsid w:val="00B80DFE"/>
    <w:rsid w:val="00B810D9"/>
    <w:rsid w:val="00B81D6C"/>
    <w:rsid w:val="00B834E6"/>
    <w:rsid w:val="00B83D44"/>
    <w:rsid w:val="00B8600D"/>
    <w:rsid w:val="00B8603F"/>
    <w:rsid w:val="00B86831"/>
    <w:rsid w:val="00B87ECC"/>
    <w:rsid w:val="00B9022C"/>
    <w:rsid w:val="00B91A5E"/>
    <w:rsid w:val="00B91F06"/>
    <w:rsid w:val="00B934C4"/>
    <w:rsid w:val="00B9375C"/>
    <w:rsid w:val="00B942FF"/>
    <w:rsid w:val="00B94B11"/>
    <w:rsid w:val="00BA092A"/>
    <w:rsid w:val="00BA1E58"/>
    <w:rsid w:val="00BA4574"/>
    <w:rsid w:val="00BA50C8"/>
    <w:rsid w:val="00BA5BFD"/>
    <w:rsid w:val="00BB0CA0"/>
    <w:rsid w:val="00BB0EE8"/>
    <w:rsid w:val="00BB2402"/>
    <w:rsid w:val="00BB2E08"/>
    <w:rsid w:val="00BB4123"/>
    <w:rsid w:val="00BB4685"/>
    <w:rsid w:val="00BB474D"/>
    <w:rsid w:val="00BB4A91"/>
    <w:rsid w:val="00BB56A8"/>
    <w:rsid w:val="00BB67B6"/>
    <w:rsid w:val="00BB69A9"/>
    <w:rsid w:val="00BB70C0"/>
    <w:rsid w:val="00BC0799"/>
    <w:rsid w:val="00BC36D5"/>
    <w:rsid w:val="00BC4546"/>
    <w:rsid w:val="00BC4865"/>
    <w:rsid w:val="00BC53FC"/>
    <w:rsid w:val="00BC59BE"/>
    <w:rsid w:val="00BC70DD"/>
    <w:rsid w:val="00BD056B"/>
    <w:rsid w:val="00BD0F20"/>
    <w:rsid w:val="00BD14CB"/>
    <w:rsid w:val="00BD24BF"/>
    <w:rsid w:val="00BD3EBA"/>
    <w:rsid w:val="00BD497E"/>
    <w:rsid w:val="00BD4DB3"/>
    <w:rsid w:val="00BD64DA"/>
    <w:rsid w:val="00BD6A75"/>
    <w:rsid w:val="00BE215D"/>
    <w:rsid w:val="00BE4359"/>
    <w:rsid w:val="00BE4A53"/>
    <w:rsid w:val="00BE7396"/>
    <w:rsid w:val="00BE7E9B"/>
    <w:rsid w:val="00BE7EDE"/>
    <w:rsid w:val="00BF2A0C"/>
    <w:rsid w:val="00BF2DCF"/>
    <w:rsid w:val="00BF3144"/>
    <w:rsid w:val="00BF367F"/>
    <w:rsid w:val="00BF5471"/>
    <w:rsid w:val="00BF5AE4"/>
    <w:rsid w:val="00BF5C6C"/>
    <w:rsid w:val="00BF66C6"/>
    <w:rsid w:val="00BF6F32"/>
    <w:rsid w:val="00BF77C8"/>
    <w:rsid w:val="00C017AA"/>
    <w:rsid w:val="00C01BC3"/>
    <w:rsid w:val="00C02591"/>
    <w:rsid w:val="00C02A3E"/>
    <w:rsid w:val="00C03969"/>
    <w:rsid w:val="00C04F3C"/>
    <w:rsid w:val="00C05361"/>
    <w:rsid w:val="00C05502"/>
    <w:rsid w:val="00C07510"/>
    <w:rsid w:val="00C105C5"/>
    <w:rsid w:val="00C11050"/>
    <w:rsid w:val="00C1155F"/>
    <w:rsid w:val="00C11A9F"/>
    <w:rsid w:val="00C11C98"/>
    <w:rsid w:val="00C1210F"/>
    <w:rsid w:val="00C140D4"/>
    <w:rsid w:val="00C14633"/>
    <w:rsid w:val="00C15B8A"/>
    <w:rsid w:val="00C202F4"/>
    <w:rsid w:val="00C211A2"/>
    <w:rsid w:val="00C227F6"/>
    <w:rsid w:val="00C238DB"/>
    <w:rsid w:val="00C23A04"/>
    <w:rsid w:val="00C244E0"/>
    <w:rsid w:val="00C25BC2"/>
    <w:rsid w:val="00C2751F"/>
    <w:rsid w:val="00C27E6A"/>
    <w:rsid w:val="00C304BE"/>
    <w:rsid w:val="00C32717"/>
    <w:rsid w:val="00C32C54"/>
    <w:rsid w:val="00C3435E"/>
    <w:rsid w:val="00C343D2"/>
    <w:rsid w:val="00C35287"/>
    <w:rsid w:val="00C354CC"/>
    <w:rsid w:val="00C35E19"/>
    <w:rsid w:val="00C372D9"/>
    <w:rsid w:val="00C41657"/>
    <w:rsid w:val="00C41FD5"/>
    <w:rsid w:val="00C42BE7"/>
    <w:rsid w:val="00C431A8"/>
    <w:rsid w:val="00C43669"/>
    <w:rsid w:val="00C43FA7"/>
    <w:rsid w:val="00C44FA3"/>
    <w:rsid w:val="00C45315"/>
    <w:rsid w:val="00C47B11"/>
    <w:rsid w:val="00C47CF2"/>
    <w:rsid w:val="00C52C77"/>
    <w:rsid w:val="00C535FA"/>
    <w:rsid w:val="00C53FC1"/>
    <w:rsid w:val="00C54209"/>
    <w:rsid w:val="00C5428F"/>
    <w:rsid w:val="00C554FA"/>
    <w:rsid w:val="00C56DFD"/>
    <w:rsid w:val="00C57515"/>
    <w:rsid w:val="00C600A5"/>
    <w:rsid w:val="00C60665"/>
    <w:rsid w:val="00C606BB"/>
    <w:rsid w:val="00C60ECB"/>
    <w:rsid w:val="00C61575"/>
    <w:rsid w:val="00C624B7"/>
    <w:rsid w:val="00C6291B"/>
    <w:rsid w:val="00C62C39"/>
    <w:rsid w:val="00C630D5"/>
    <w:rsid w:val="00C635AA"/>
    <w:rsid w:val="00C6387F"/>
    <w:rsid w:val="00C63E0C"/>
    <w:rsid w:val="00C66B10"/>
    <w:rsid w:val="00C7097E"/>
    <w:rsid w:val="00C70E03"/>
    <w:rsid w:val="00C71DDA"/>
    <w:rsid w:val="00C727CE"/>
    <w:rsid w:val="00C742CC"/>
    <w:rsid w:val="00C74D5F"/>
    <w:rsid w:val="00C75FF6"/>
    <w:rsid w:val="00C769A0"/>
    <w:rsid w:val="00C76F61"/>
    <w:rsid w:val="00C774F1"/>
    <w:rsid w:val="00C802E4"/>
    <w:rsid w:val="00C80CEA"/>
    <w:rsid w:val="00C82F4B"/>
    <w:rsid w:val="00C832F7"/>
    <w:rsid w:val="00C85731"/>
    <w:rsid w:val="00C86A3F"/>
    <w:rsid w:val="00C874AB"/>
    <w:rsid w:val="00C8765D"/>
    <w:rsid w:val="00C87E7D"/>
    <w:rsid w:val="00C908C9"/>
    <w:rsid w:val="00C91E68"/>
    <w:rsid w:val="00C936D0"/>
    <w:rsid w:val="00C93E5F"/>
    <w:rsid w:val="00C960D8"/>
    <w:rsid w:val="00C96382"/>
    <w:rsid w:val="00CA0137"/>
    <w:rsid w:val="00CA0C64"/>
    <w:rsid w:val="00CA115D"/>
    <w:rsid w:val="00CA1BE8"/>
    <w:rsid w:val="00CA3796"/>
    <w:rsid w:val="00CA4437"/>
    <w:rsid w:val="00CB08D0"/>
    <w:rsid w:val="00CB0B34"/>
    <w:rsid w:val="00CB13CA"/>
    <w:rsid w:val="00CB17D7"/>
    <w:rsid w:val="00CB19A3"/>
    <w:rsid w:val="00CB523D"/>
    <w:rsid w:val="00CB5998"/>
    <w:rsid w:val="00CB5F96"/>
    <w:rsid w:val="00CC04F8"/>
    <w:rsid w:val="00CC142B"/>
    <w:rsid w:val="00CC1DCC"/>
    <w:rsid w:val="00CC1FD1"/>
    <w:rsid w:val="00CC2E6D"/>
    <w:rsid w:val="00CC2EB2"/>
    <w:rsid w:val="00CC3E24"/>
    <w:rsid w:val="00CC484E"/>
    <w:rsid w:val="00CC5274"/>
    <w:rsid w:val="00CC53D6"/>
    <w:rsid w:val="00CC6CB2"/>
    <w:rsid w:val="00CC6FD4"/>
    <w:rsid w:val="00CC7471"/>
    <w:rsid w:val="00CC7AC2"/>
    <w:rsid w:val="00CC7AE0"/>
    <w:rsid w:val="00CC7C25"/>
    <w:rsid w:val="00CD0398"/>
    <w:rsid w:val="00CD2D23"/>
    <w:rsid w:val="00CD2DA0"/>
    <w:rsid w:val="00CD2EF8"/>
    <w:rsid w:val="00CD376B"/>
    <w:rsid w:val="00CD4E90"/>
    <w:rsid w:val="00CD589F"/>
    <w:rsid w:val="00CD7023"/>
    <w:rsid w:val="00CD7141"/>
    <w:rsid w:val="00CD758A"/>
    <w:rsid w:val="00CE0909"/>
    <w:rsid w:val="00CE184E"/>
    <w:rsid w:val="00CE1C86"/>
    <w:rsid w:val="00CE29C7"/>
    <w:rsid w:val="00CE2B19"/>
    <w:rsid w:val="00CE5BD9"/>
    <w:rsid w:val="00CE630D"/>
    <w:rsid w:val="00CE66DD"/>
    <w:rsid w:val="00CE683F"/>
    <w:rsid w:val="00CE6BEB"/>
    <w:rsid w:val="00CE7963"/>
    <w:rsid w:val="00CE7DE3"/>
    <w:rsid w:val="00CF0114"/>
    <w:rsid w:val="00CF0897"/>
    <w:rsid w:val="00CF0CAD"/>
    <w:rsid w:val="00CF13F0"/>
    <w:rsid w:val="00CF2AF4"/>
    <w:rsid w:val="00CF2E22"/>
    <w:rsid w:val="00CF490F"/>
    <w:rsid w:val="00CF4C44"/>
    <w:rsid w:val="00CF524C"/>
    <w:rsid w:val="00CF55DB"/>
    <w:rsid w:val="00D00321"/>
    <w:rsid w:val="00D01865"/>
    <w:rsid w:val="00D03E0A"/>
    <w:rsid w:val="00D04218"/>
    <w:rsid w:val="00D045C2"/>
    <w:rsid w:val="00D046FB"/>
    <w:rsid w:val="00D05AE8"/>
    <w:rsid w:val="00D0788C"/>
    <w:rsid w:val="00D07FF8"/>
    <w:rsid w:val="00D115A7"/>
    <w:rsid w:val="00D138EB"/>
    <w:rsid w:val="00D17336"/>
    <w:rsid w:val="00D17347"/>
    <w:rsid w:val="00D17EA8"/>
    <w:rsid w:val="00D20459"/>
    <w:rsid w:val="00D22955"/>
    <w:rsid w:val="00D24D4E"/>
    <w:rsid w:val="00D24DAB"/>
    <w:rsid w:val="00D253EC"/>
    <w:rsid w:val="00D256C0"/>
    <w:rsid w:val="00D25A2F"/>
    <w:rsid w:val="00D26A77"/>
    <w:rsid w:val="00D27F1D"/>
    <w:rsid w:val="00D309A5"/>
    <w:rsid w:val="00D30CA5"/>
    <w:rsid w:val="00D332F1"/>
    <w:rsid w:val="00D3486B"/>
    <w:rsid w:val="00D35631"/>
    <w:rsid w:val="00D36619"/>
    <w:rsid w:val="00D3757B"/>
    <w:rsid w:val="00D37919"/>
    <w:rsid w:val="00D37F98"/>
    <w:rsid w:val="00D37FC3"/>
    <w:rsid w:val="00D43856"/>
    <w:rsid w:val="00D43FA1"/>
    <w:rsid w:val="00D44181"/>
    <w:rsid w:val="00D44BC7"/>
    <w:rsid w:val="00D46CAD"/>
    <w:rsid w:val="00D46CDA"/>
    <w:rsid w:val="00D47B98"/>
    <w:rsid w:val="00D47F80"/>
    <w:rsid w:val="00D50A2B"/>
    <w:rsid w:val="00D52818"/>
    <w:rsid w:val="00D537B4"/>
    <w:rsid w:val="00D54C5E"/>
    <w:rsid w:val="00D615FF"/>
    <w:rsid w:val="00D61AD6"/>
    <w:rsid w:val="00D6201D"/>
    <w:rsid w:val="00D627B5"/>
    <w:rsid w:val="00D64775"/>
    <w:rsid w:val="00D6742D"/>
    <w:rsid w:val="00D679D4"/>
    <w:rsid w:val="00D704A1"/>
    <w:rsid w:val="00D7060B"/>
    <w:rsid w:val="00D70863"/>
    <w:rsid w:val="00D71A04"/>
    <w:rsid w:val="00D71EC5"/>
    <w:rsid w:val="00D7235D"/>
    <w:rsid w:val="00D73ADD"/>
    <w:rsid w:val="00D768C7"/>
    <w:rsid w:val="00D81257"/>
    <w:rsid w:val="00D8131F"/>
    <w:rsid w:val="00D8172D"/>
    <w:rsid w:val="00D818B8"/>
    <w:rsid w:val="00D840C7"/>
    <w:rsid w:val="00D841C8"/>
    <w:rsid w:val="00D8473A"/>
    <w:rsid w:val="00D84D88"/>
    <w:rsid w:val="00D856B4"/>
    <w:rsid w:val="00D9134C"/>
    <w:rsid w:val="00D9238E"/>
    <w:rsid w:val="00D9293B"/>
    <w:rsid w:val="00D94868"/>
    <w:rsid w:val="00D95EE4"/>
    <w:rsid w:val="00D9771F"/>
    <w:rsid w:val="00D97856"/>
    <w:rsid w:val="00DA0784"/>
    <w:rsid w:val="00DA0DE5"/>
    <w:rsid w:val="00DA169F"/>
    <w:rsid w:val="00DA18CF"/>
    <w:rsid w:val="00DA44AE"/>
    <w:rsid w:val="00DA6BC9"/>
    <w:rsid w:val="00DB0559"/>
    <w:rsid w:val="00DB1B67"/>
    <w:rsid w:val="00DB41C3"/>
    <w:rsid w:val="00DB48A7"/>
    <w:rsid w:val="00DB4BD5"/>
    <w:rsid w:val="00DB6F6D"/>
    <w:rsid w:val="00DB7882"/>
    <w:rsid w:val="00DC08B5"/>
    <w:rsid w:val="00DC0ABB"/>
    <w:rsid w:val="00DC1E68"/>
    <w:rsid w:val="00DC466D"/>
    <w:rsid w:val="00DC5F0F"/>
    <w:rsid w:val="00DC5F30"/>
    <w:rsid w:val="00DC6927"/>
    <w:rsid w:val="00DC6D49"/>
    <w:rsid w:val="00DC6EAE"/>
    <w:rsid w:val="00DC6F5F"/>
    <w:rsid w:val="00DC7C69"/>
    <w:rsid w:val="00DD122B"/>
    <w:rsid w:val="00DD18E1"/>
    <w:rsid w:val="00DD1FCC"/>
    <w:rsid w:val="00DD2012"/>
    <w:rsid w:val="00DD43BA"/>
    <w:rsid w:val="00DD59B3"/>
    <w:rsid w:val="00DD60E8"/>
    <w:rsid w:val="00DD6969"/>
    <w:rsid w:val="00DD6A6D"/>
    <w:rsid w:val="00DD7979"/>
    <w:rsid w:val="00DD7B52"/>
    <w:rsid w:val="00DD7C16"/>
    <w:rsid w:val="00DE0036"/>
    <w:rsid w:val="00DE0ECF"/>
    <w:rsid w:val="00DE17A5"/>
    <w:rsid w:val="00DE1BCF"/>
    <w:rsid w:val="00DE1CD3"/>
    <w:rsid w:val="00DE3CCD"/>
    <w:rsid w:val="00DE4505"/>
    <w:rsid w:val="00DE5331"/>
    <w:rsid w:val="00DE6420"/>
    <w:rsid w:val="00DE6684"/>
    <w:rsid w:val="00DE74F2"/>
    <w:rsid w:val="00DF12D6"/>
    <w:rsid w:val="00DF1BB1"/>
    <w:rsid w:val="00DF2E77"/>
    <w:rsid w:val="00DF2F5E"/>
    <w:rsid w:val="00DF33EA"/>
    <w:rsid w:val="00DF3BDF"/>
    <w:rsid w:val="00DF5BE1"/>
    <w:rsid w:val="00E0127F"/>
    <w:rsid w:val="00E01643"/>
    <w:rsid w:val="00E01EC5"/>
    <w:rsid w:val="00E02CE2"/>
    <w:rsid w:val="00E03C96"/>
    <w:rsid w:val="00E047F8"/>
    <w:rsid w:val="00E058A1"/>
    <w:rsid w:val="00E0763A"/>
    <w:rsid w:val="00E103AF"/>
    <w:rsid w:val="00E117E0"/>
    <w:rsid w:val="00E11AFF"/>
    <w:rsid w:val="00E124FA"/>
    <w:rsid w:val="00E128BE"/>
    <w:rsid w:val="00E13592"/>
    <w:rsid w:val="00E13814"/>
    <w:rsid w:val="00E14BFA"/>
    <w:rsid w:val="00E1559A"/>
    <w:rsid w:val="00E15BB1"/>
    <w:rsid w:val="00E15F64"/>
    <w:rsid w:val="00E17967"/>
    <w:rsid w:val="00E2038F"/>
    <w:rsid w:val="00E23B44"/>
    <w:rsid w:val="00E2544D"/>
    <w:rsid w:val="00E25B81"/>
    <w:rsid w:val="00E26F00"/>
    <w:rsid w:val="00E27DBE"/>
    <w:rsid w:val="00E3027A"/>
    <w:rsid w:val="00E306F1"/>
    <w:rsid w:val="00E32A39"/>
    <w:rsid w:val="00E32B60"/>
    <w:rsid w:val="00E33AF3"/>
    <w:rsid w:val="00E33FBC"/>
    <w:rsid w:val="00E346B0"/>
    <w:rsid w:val="00E35530"/>
    <w:rsid w:val="00E3640C"/>
    <w:rsid w:val="00E376BA"/>
    <w:rsid w:val="00E37815"/>
    <w:rsid w:val="00E4269F"/>
    <w:rsid w:val="00E429E9"/>
    <w:rsid w:val="00E43FCD"/>
    <w:rsid w:val="00E44182"/>
    <w:rsid w:val="00E44B21"/>
    <w:rsid w:val="00E450BC"/>
    <w:rsid w:val="00E456DB"/>
    <w:rsid w:val="00E4648C"/>
    <w:rsid w:val="00E46D91"/>
    <w:rsid w:val="00E507FC"/>
    <w:rsid w:val="00E5095E"/>
    <w:rsid w:val="00E51838"/>
    <w:rsid w:val="00E52A2B"/>
    <w:rsid w:val="00E53410"/>
    <w:rsid w:val="00E53991"/>
    <w:rsid w:val="00E53C0D"/>
    <w:rsid w:val="00E5433F"/>
    <w:rsid w:val="00E5631D"/>
    <w:rsid w:val="00E572B2"/>
    <w:rsid w:val="00E573D5"/>
    <w:rsid w:val="00E57582"/>
    <w:rsid w:val="00E60837"/>
    <w:rsid w:val="00E60DD6"/>
    <w:rsid w:val="00E613F3"/>
    <w:rsid w:val="00E62C11"/>
    <w:rsid w:val="00E6372C"/>
    <w:rsid w:val="00E63C2B"/>
    <w:rsid w:val="00E64144"/>
    <w:rsid w:val="00E6528F"/>
    <w:rsid w:val="00E66225"/>
    <w:rsid w:val="00E666D8"/>
    <w:rsid w:val="00E674F0"/>
    <w:rsid w:val="00E71B72"/>
    <w:rsid w:val="00E720C8"/>
    <w:rsid w:val="00E723B9"/>
    <w:rsid w:val="00E72F31"/>
    <w:rsid w:val="00E72F98"/>
    <w:rsid w:val="00E74255"/>
    <w:rsid w:val="00E74A4F"/>
    <w:rsid w:val="00E755FC"/>
    <w:rsid w:val="00E7646B"/>
    <w:rsid w:val="00E77D2C"/>
    <w:rsid w:val="00E77FD3"/>
    <w:rsid w:val="00E8028C"/>
    <w:rsid w:val="00E82107"/>
    <w:rsid w:val="00E82E16"/>
    <w:rsid w:val="00E830A9"/>
    <w:rsid w:val="00E846FB"/>
    <w:rsid w:val="00E86F35"/>
    <w:rsid w:val="00E86FB1"/>
    <w:rsid w:val="00E87574"/>
    <w:rsid w:val="00E90F5B"/>
    <w:rsid w:val="00E9328F"/>
    <w:rsid w:val="00E94154"/>
    <w:rsid w:val="00E94887"/>
    <w:rsid w:val="00E97DE2"/>
    <w:rsid w:val="00EA03E2"/>
    <w:rsid w:val="00EA0B77"/>
    <w:rsid w:val="00EA171F"/>
    <w:rsid w:val="00EA347B"/>
    <w:rsid w:val="00EA7445"/>
    <w:rsid w:val="00EB1A83"/>
    <w:rsid w:val="00EB210D"/>
    <w:rsid w:val="00EB2FD9"/>
    <w:rsid w:val="00EB38AC"/>
    <w:rsid w:val="00EB6969"/>
    <w:rsid w:val="00EB7FEA"/>
    <w:rsid w:val="00EC0E22"/>
    <w:rsid w:val="00EC12F6"/>
    <w:rsid w:val="00EC2726"/>
    <w:rsid w:val="00EC33B0"/>
    <w:rsid w:val="00EC3ADE"/>
    <w:rsid w:val="00EC50AE"/>
    <w:rsid w:val="00EC7ABD"/>
    <w:rsid w:val="00ED0335"/>
    <w:rsid w:val="00ED0DDF"/>
    <w:rsid w:val="00ED37A5"/>
    <w:rsid w:val="00ED3E4C"/>
    <w:rsid w:val="00ED570F"/>
    <w:rsid w:val="00ED5CEC"/>
    <w:rsid w:val="00ED6458"/>
    <w:rsid w:val="00ED6CDB"/>
    <w:rsid w:val="00EE00BC"/>
    <w:rsid w:val="00EE06CD"/>
    <w:rsid w:val="00EE0A1C"/>
    <w:rsid w:val="00EE3BA1"/>
    <w:rsid w:val="00EE47D2"/>
    <w:rsid w:val="00EE47DC"/>
    <w:rsid w:val="00EE4C49"/>
    <w:rsid w:val="00EE5C94"/>
    <w:rsid w:val="00EE7ED7"/>
    <w:rsid w:val="00EF0846"/>
    <w:rsid w:val="00EF0BC3"/>
    <w:rsid w:val="00EF2124"/>
    <w:rsid w:val="00EF2736"/>
    <w:rsid w:val="00EF3586"/>
    <w:rsid w:val="00EF403E"/>
    <w:rsid w:val="00EF4276"/>
    <w:rsid w:val="00EF5876"/>
    <w:rsid w:val="00EF68F3"/>
    <w:rsid w:val="00F00DD7"/>
    <w:rsid w:val="00F01B11"/>
    <w:rsid w:val="00F057D5"/>
    <w:rsid w:val="00F06954"/>
    <w:rsid w:val="00F11063"/>
    <w:rsid w:val="00F139F2"/>
    <w:rsid w:val="00F13A87"/>
    <w:rsid w:val="00F13C1A"/>
    <w:rsid w:val="00F143D0"/>
    <w:rsid w:val="00F14A74"/>
    <w:rsid w:val="00F154DC"/>
    <w:rsid w:val="00F208EE"/>
    <w:rsid w:val="00F20974"/>
    <w:rsid w:val="00F21A90"/>
    <w:rsid w:val="00F2329E"/>
    <w:rsid w:val="00F250BF"/>
    <w:rsid w:val="00F26554"/>
    <w:rsid w:val="00F3100B"/>
    <w:rsid w:val="00F310F6"/>
    <w:rsid w:val="00F32E5A"/>
    <w:rsid w:val="00F33BA1"/>
    <w:rsid w:val="00F34C49"/>
    <w:rsid w:val="00F3637C"/>
    <w:rsid w:val="00F370EB"/>
    <w:rsid w:val="00F37670"/>
    <w:rsid w:val="00F40B61"/>
    <w:rsid w:val="00F40C57"/>
    <w:rsid w:val="00F43B17"/>
    <w:rsid w:val="00F44CF4"/>
    <w:rsid w:val="00F465BE"/>
    <w:rsid w:val="00F46B39"/>
    <w:rsid w:val="00F4777D"/>
    <w:rsid w:val="00F47EC5"/>
    <w:rsid w:val="00F50D28"/>
    <w:rsid w:val="00F510E1"/>
    <w:rsid w:val="00F51588"/>
    <w:rsid w:val="00F52A78"/>
    <w:rsid w:val="00F52DD8"/>
    <w:rsid w:val="00F53CE0"/>
    <w:rsid w:val="00F54316"/>
    <w:rsid w:val="00F558FE"/>
    <w:rsid w:val="00F5693A"/>
    <w:rsid w:val="00F60603"/>
    <w:rsid w:val="00F61C47"/>
    <w:rsid w:val="00F63BF2"/>
    <w:rsid w:val="00F64D12"/>
    <w:rsid w:val="00F657D6"/>
    <w:rsid w:val="00F6580B"/>
    <w:rsid w:val="00F66428"/>
    <w:rsid w:val="00F673D4"/>
    <w:rsid w:val="00F67A7F"/>
    <w:rsid w:val="00F7176C"/>
    <w:rsid w:val="00F71B9D"/>
    <w:rsid w:val="00F73113"/>
    <w:rsid w:val="00F7354F"/>
    <w:rsid w:val="00F737E9"/>
    <w:rsid w:val="00F73840"/>
    <w:rsid w:val="00F741A3"/>
    <w:rsid w:val="00F7449E"/>
    <w:rsid w:val="00F74FDC"/>
    <w:rsid w:val="00F75140"/>
    <w:rsid w:val="00F77701"/>
    <w:rsid w:val="00F819DD"/>
    <w:rsid w:val="00F81A2D"/>
    <w:rsid w:val="00F83260"/>
    <w:rsid w:val="00F83FC9"/>
    <w:rsid w:val="00F84B3D"/>
    <w:rsid w:val="00F84FFB"/>
    <w:rsid w:val="00F868BD"/>
    <w:rsid w:val="00F86F5E"/>
    <w:rsid w:val="00F90780"/>
    <w:rsid w:val="00F908CF"/>
    <w:rsid w:val="00F90E01"/>
    <w:rsid w:val="00F92872"/>
    <w:rsid w:val="00F93294"/>
    <w:rsid w:val="00F94C03"/>
    <w:rsid w:val="00F960E4"/>
    <w:rsid w:val="00F971AE"/>
    <w:rsid w:val="00F97CA2"/>
    <w:rsid w:val="00F97E54"/>
    <w:rsid w:val="00FA08D5"/>
    <w:rsid w:val="00FA1123"/>
    <w:rsid w:val="00FA1222"/>
    <w:rsid w:val="00FA20B8"/>
    <w:rsid w:val="00FA21CB"/>
    <w:rsid w:val="00FA249D"/>
    <w:rsid w:val="00FA2613"/>
    <w:rsid w:val="00FA2DA2"/>
    <w:rsid w:val="00FA425C"/>
    <w:rsid w:val="00FA4654"/>
    <w:rsid w:val="00FA4B54"/>
    <w:rsid w:val="00FA4FEF"/>
    <w:rsid w:val="00FA5DF0"/>
    <w:rsid w:val="00FA68FF"/>
    <w:rsid w:val="00FA6915"/>
    <w:rsid w:val="00FA7617"/>
    <w:rsid w:val="00FB0144"/>
    <w:rsid w:val="00FB1221"/>
    <w:rsid w:val="00FB153D"/>
    <w:rsid w:val="00FB1B09"/>
    <w:rsid w:val="00FB2B3E"/>
    <w:rsid w:val="00FB5734"/>
    <w:rsid w:val="00FB5FE4"/>
    <w:rsid w:val="00FB63BA"/>
    <w:rsid w:val="00FB7BA0"/>
    <w:rsid w:val="00FC11EB"/>
    <w:rsid w:val="00FC1E2D"/>
    <w:rsid w:val="00FC3C1E"/>
    <w:rsid w:val="00FC461D"/>
    <w:rsid w:val="00FC4C6F"/>
    <w:rsid w:val="00FC6E02"/>
    <w:rsid w:val="00FD02B4"/>
    <w:rsid w:val="00FD31D2"/>
    <w:rsid w:val="00FD329A"/>
    <w:rsid w:val="00FD5052"/>
    <w:rsid w:val="00FD56B1"/>
    <w:rsid w:val="00FE20FE"/>
    <w:rsid w:val="00FE23BF"/>
    <w:rsid w:val="00FE3A57"/>
    <w:rsid w:val="00FE57D1"/>
    <w:rsid w:val="00FE60DC"/>
    <w:rsid w:val="00FE636C"/>
    <w:rsid w:val="00FF07B9"/>
    <w:rsid w:val="00FF0C0A"/>
    <w:rsid w:val="00FF505C"/>
    <w:rsid w:val="00FF5757"/>
    <w:rsid w:val="00FF5B7A"/>
    <w:rsid w:val="00FF6EB0"/>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455"/>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60455"/>
    <w:pPr>
      <w:tabs>
        <w:tab w:val="center" w:pos="4153"/>
        <w:tab w:val="right" w:pos="8306"/>
      </w:tabs>
      <w:snapToGrid w:val="0"/>
      <w:jc w:val="left"/>
    </w:pPr>
    <w:rPr>
      <w:sz w:val="18"/>
      <w:szCs w:val="18"/>
    </w:rPr>
  </w:style>
  <w:style w:type="character" w:customStyle="1" w:styleId="Char">
    <w:name w:val="页脚 Char"/>
    <w:basedOn w:val="a0"/>
    <w:link w:val="a3"/>
    <w:rsid w:val="00060455"/>
    <w:rPr>
      <w:rFonts w:ascii="Times New Roman" w:eastAsia="宋体" w:hAnsi="Times New Roman" w:cs="Times New Roman"/>
      <w:sz w:val="18"/>
      <w:szCs w:val="18"/>
    </w:rPr>
  </w:style>
  <w:style w:type="character" w:styleId="a4">
    <w:name w:val="page number"/>
    <w:basedOn w:val="a0"/>
    <w:rsid w:val="00060455"/>
  </w:style>
  <w:style w:type="paragraph" w:styleId="a5">
    <w:name w:val="footnote text"/>
    <w:basedOn w:val="a"/>
    <w:link w:val="Char1"/>
    <w:uiPriority w:val="99"/>
    <w:unhideWhenUsed/>
    <w:rsid w:val="00060455"/>
    <w:pPr>
      <w:snapToGrid w:val="0"/>
      <w:jc w:val="left"/>
    </w:pPr>
    <w:rPr>
      <w:kern w:val="0"/>
      <w:sz w:val="18"/>
      <w:szCs w:val="18"/>
    </w:rPr>
  </w:style>
  <w:style w:type="character" w:customStyle="1" w:styleId="Char0">
    <w:name w:val="脚注文本 Char"/>
    <w:basedOn w:val="a0"/>
    <w:link w:val="a5"/>
    <w:uiPriority w:val="99"/>
    <w:semiHidden/>
    <w:rsid w:val="00060455"/>
    <w:rPr>
      <w:rFonts w:ascii="Times New Roman" w:eastAsia="宋体" w:hAnsi="Times New Roman" w:cs="Times New Roman"/>
      <w:sz w:val="18"/>
      <w:szCs w:val="18"/>
    </w:rPr>
  </w:style>
  <w:style w:type="character" w:customStyle="1" w:styleId="Char1">
    <w:name w:val="脚注文本 Char1"/>
    <w:basedOn w:val="a0"/>
    <w:link w:val="a5"/>
    <w:uiPriority w:val="99"/>
    <w:locked/>
    <w:rsid w:val="00060455"/>
    <w:rPr>
      <w:rFonts w:ascii="Times New Roman" w:eastAsia="宋体" w:hAnsi="Times New Roman" w:cs="Times New Roman"/>
      <w:kern w:val="0"/>
      <w:sz w:val="18"/>
      <w:szCs w:val="18"/>
    </w:rPr>
  </w:style>
  <w:style w:type="character" w:styleId="a6">
    <w:name w:val="footnote reference"/>
    <w:unhideWhenUsed/>
    <w:rsid w:val="00060455"/>
    <w:rPr>
      <w:vertAlign w:val="superscript"/>
    </w:rPr>
  </w:style>
  <w:style w:type="paragraph" w:styleId="a7">
    <w:name w:val="header"/>
    <w:basedOn w:val="a"/>
    <w:link w:val="Char2"/>
    <w:uiPriority w:val="99"/>
    <w:semiHidden/>
    <w:unhideWhenUsed/>
    <w:rsid w:val="0006045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060455"/>
    <w:rPr>
      <w:rFonts w:ascii="Times New Roman" w:eastAsia="宋体" w:hAnsi="Times New Roman" w:cs="Times New Roman"/>
      <w:sz w:val="18"/>
      <w:szCs w:val="18"/>
    </w:rPr>
  </w:style>
  <w:style w:type="paragraph" w:styleId="a8">
    <w:name w:val="Balloon Text"/>
    <w:basedOn w:val="a"/>
    <w:link w:val="Char3"/>
    <w:uiPriority w:val="99"/>
    <w:semiHidden/>
    <w:unhideWhenUsed/>
    <w:rsid w:val="00060455"/>
    <w:rPr>
      <w:sz w:val="18"/>
      <w:szCs w:val="18"/>
    </w:rPr>
  </w:style>
  <w:style w:type="character" w:customStyle="1" w:styleId="Char3">
    <w:name w:val="批注框文本 Char"/>
    <w:basedOn w:val="a0"/>
    <w:link w:val="a8"/>
    <w:uiPriority w:val="99"/>
    <w:semiHidden/>
    <w:rsid w:val="0006045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1510</Words>
  <Characters>8608</Characters>
  <Application>Microsoft Office Word</Application>
  <DocSecurity>0</DocSecurity>
  <Lines>71</Lines>
  <Paragraphs>20</Paragraphs>
  <ScaleCrop>false</ScaleCrop>
  <Company/>
  <LinksUpToDate>false</LinksUpToDate>
  <CharactersWithSpaces>10098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CN=张林园/OU=办公室/O=CZCE</cp:lastModifiedBy>
  <cp:revision>1</cp:revision>
  <dcterms:created xsi:type="dcterms:W3CDTF">2020-07-14T07:09:00Z</dcterms:created>
  <dcterms:modified xsi:type="dcterms:W3CDTF">2020-07-14T07:10:00Z</dcterms:modified>
</cp:coreProperties>
</file>