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7D" w:rsidRDefault="0066157D" w:rsidP="0066157D">
      <w:pPr>
        <w:ind w:right="1287"/>
        <w:rPr>
          <w:rFonts w:ascii="黑体" w:eastAsia="黑体" w:hAnsi="黑体"/>
          <w:spacing w:val="-6"/>
          <w:sz w:val="32"/>
        </w:rPr>
      </w:pPr>
      <w:r w:rsidRPr="007B2014">
        <w:rPr>
          <w:rFonts w:ascii="黑体" w:eastAsia="黑体" w:hAnsi="黑体"/>
          <w:spacing w:val="-6"/>
          <w:sz w:val="32"/>
        </w:rPr>
        <w:t>附件</w:t>
      </w:r>
      <w:r>
        <w:rPr>
          <w:rFonts w:ascii="黑体" w:eastAsia="黑体" w:hAnsi="黑体" w:hint="eastAsia"/>
          <w:spacing w:val="-6"/>
          <w:sz w:val="32"/>
        </w:rPr>
        <w:t>6</w:t>
      </w:r>
    </w:p>
    <w:p w:rsidR="0066157D" w:rsidRDefault="0066157D" w:rsidP="0066157D">
      <w:pPr>
        <w:jc w:val="center"/>
        <w:rPr>
          <w:rFonts w:ascii="宋体" w:hAnsi="宋体"/>
          <w:b/>
          <w:sz w:val="44"/>
          <w:szCs w:val="44"/>
        </w:rPr>
      </w:pPr>
      <w:r>
        <w:rPr>
          <w:rFonts w:ascii="宋体" w:hAnsi="宋体" w:hint="eastAsia"/>
          <w:b/>
          <w:sz w:val="44"/>
          <w:szCs w:val="44"/>
        </w:rPr>
        <w:t>郑州商品交易所标准仓单及中转仓单管理办法</w:t>
      </w:r>
    </w:p>
    <w:p w:rsidR="0066157D" w:rsidRPr="002A79B1" w:rsidRDefault="0066157D" w:rsidP="0066157D">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，2020年7</w:t>
      </w:r>
      <w:r w:rsidRPr="00514DAF">
        <w:rPr>
          <w:rFonts w:ascii="宋体" w:hAnsi="宋体" w:hint="eastAsia"/>
          <w:sz w:val="24"/>
        </w:rPr>
        <w:t>月14日</w:t>
      </w:r>
      <w:r w:rsidRPr="008F6193">
        <w:rPr>
          <w:rFonts w:ascii="宋体" w:hAnsi="宋体" w:hint="eastAsia"/>
          <w:sz w:val="24"/>
          <w:szCs w:val="23"/>
        </w:rPr>
        <w:t>发布，</w:t>
      </w:r>
      <w:r>
        <w:rPr>
          <w:rFonts w:ascii="宋体" w:hAnsi="宋体" w:hint="eastAsia"/>
          <w:sz w:val="24"/>
        </w:rPr>
        <w:t>修订部分自苹果期货2110合约起施行</w:t>
      </w:r>
      <w:r w:rsidRPr="007D0094">
        <w:rPr>
          <w:rFonts w:ascii="宋体" w:hAnsi="宋体" w:hint="eastAsia"/>
          <w:sz w:val="24"/>
        </w:rPr>
        <w:t>）</w:t>
      </w:r>
    </w:p>
    <w:p w:rsidR="0066157D" w:rsidRPr="002A79B1" w:rsidRDefault="0066157D" w:rsidP="0066157D">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为保障郑州商品交易所（以下简称交易所）商品期货交割业务的正常进行，规范标准仓单及中转仓单的管理，根据《郑州商品交易所交易规则》，制定本办法。</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标准仓单及中转仓单的注册、流通和注销等业务，按本办法执行。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交割中转仓库（以下简称中转仓库）、交割厂库(以下简称厂库)及指定质检机构（以下简称质检机构）办理与标准仓单及中转仓单有关的各项业务，应当遵守本办法。</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w:t>
      </w:r>
    </w:p>
    <w:p w:rsidR="0066157D" w:rsidRPr="002A79B1" w:rsidRDefault="0066157D" w:rsidP="0066157D">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根据期货商品完税状态的不同，标准仓单分为保税标准仓单和完税标准仓单。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中转仓单是指中转仓库按照交易所规定的程序提交仓单注册申请后，经交易所注册，用于证明货主拥有实物或者可予提货的财产凭证。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中转仓单所对应的货物从中转仓库运至仓库后，经验收合格可转为标准仓单。</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交易所通过计算机系统办理标准仓单及中转仓单的注册、交割、转让、充抵保证金和注销等业务</w:t>
      </w:r>
      <w:r w:rsidRPr="002A79B1">
        <w:rPr>
          <w:rFonts w:ascii="宋体" w:hAnsi="宋体" w:cs="宋体" w:hint="eastAsia"/>
          <w:b/>
          <w:bCs/>
          <w:kern w:val="0"/>
          <w:sz w:val="28"/>
          <w:szCs w:val="28"/>
        </w:rPr>
        <w:t>。</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会员或客户使用标准仓单及中转仓单向商业银行等第三方提供担保的，须向交易所办理标准仓单及中转仓单质权登记手续。未经交易所办理质权登记的，不得约束其他会员或客户等第三人。</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66157D" w:rsidRPr="002A79B1" w:rsidRDefault="0066157D" w:rsidP="0066157D">
      <w:pPr>
        <w:widowControl/>
        <w:spacing w:line="360" w:lineRule="auto"/>
        <w:ind w:firstLineChars="200" w:firstLine="560"/>
        <w:outlineLvl w:val="3"/>
        <w:rPr>
          <w:rFonts w:ascii="仿宋_GB2312" w:eastAsia="仿宋_GB2312" w:hAnsi="宋体" w:cs="宋体"/>
          <w:kern w:val="0"/>
          <w:sz w:val="28"/>
          <w:szCs w:val="28"/>
          <w:u w:val="single"/>
        </w:rPr>
      </w:pPr>
      <w:r w:rsidRPr="002A79B1">
        <w:rPr>
          <w:rFonts w:ascii="宋体" w:hAnsi="宋体" w:cs="宋体" w:hint="eastAsia"/>
          <w:kern w:val="0"/>
          <w:sz w:val="28"/>
          <w:szCs w:val="28"/>
        </w:rPr>
        <w:t>在交易所开通标准仓单及中转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lastRenderedPageBreak/>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仓库标准仓单及中转仓单的生成包括交割预报、入库验收、质量检验、仓库申请注册及交易所办理注册等环节。</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w:t>
      </w:r>
      <w:r w:rsidRPr="002A79B1">
        <w:rPr>
          <w:rFonts w:ascii="宋体" w:hAnsi="宋体" w:cs="宋体" w:hint="eastAsia"/>
          <w:kern w:val="0"/>
          <w:sz w:val="28"/>
          <w:szCs w:val="28"/>
        </w:rPr>
        <w:t>及中转仓单</w:t>
      </w:r>
      <w:r w:rsidRPr="002A79B1">
        <w:rPr>
          <w:rFonts w:ascii="宋体" w:hAnsi="宋体" w:cs="宋体" w:hint="eastAsia"/>
          <w:color w:val="000000"/>
          <w:kern w:val="0"/>
          <w:sz w:val="28"/>
          <w:szCs w:val="28"/>
        </w:rPr>
        <w:t>，方可适用于与期货相关的业务。</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适用通用标准仓单的品种包括普麦、PTA、菜油、菜粕、早籼稻、晚籼稻、纯碱。完税标准仓单与保税标准仓单之间非通用。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通用标准仓单载明的内容包括：会员号、会员名称、客户交易编码、品种、标准仓单数量、冻结数量、充抵数量等。</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非通用标准仓单载明的内容包括：会员号、会员名称、客户交易编码、品种、标准仓单数量、仓库或厂库、检验时间、标准仓单编号、冻结数量、充抵数量等。</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仓库仓单及中转仓单的交割预报</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66157D" w:rsidRPr="002A79B1" w:rsidRDefault="0066157D" w:rsidP="0066157D">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（一）仓单普通小麦（以下简称仓单普麦）、菜籽、菜油、菜粕、早籼稻、晚籼稻、粳稻、甲醇、硅铁、锰硅、棉纱、红枣、尿素为40天。</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（二）一号棉仓库为40天、中转仓库为15天。</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（三）白糖每年11月1日至次年4月30日，广东、广西及云南三省（区）等交易所认可的白糖主产区仓库为15天（公历日）；其他时间和其他地区仓库为40天。</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（四）精对苯二甲酸（以下统称PTA）、苹果、纯碱为15天。</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仓库仓单及中转仓单的商品入库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棉花样品的扦取由承检机构实施，仓库应当予以协助配合。仓库及货主有权对样品扦取进行监督。</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66157D" w:rsidRPr="002A79B1" w:rsidRDefault="0066157D" w:rsidP="0066157D">
      <w:pPr>
        <w:widowControl/>
        <w:spacing w:line="360" w:lineRule="auto"/>
        <w:ind w:firstLineChars="200" w:firstLine="560"/>
        <w:outlineLvl w:val="3"/>
        <w:rPr>
          <w:rFonts w:ascii="宋体" w:hAnsi="宋体" w:cs="宋体"/>
          <w:dstrike/>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自新年度（每年9月1日）起，交易所开始接受新年度一号棉的报验申请。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棉花包装》（GB6975-2007）规定的Ⅰ型号棉包（227±10公斤），且须附有检验证书及原码单。</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一号棉入库过程中和仓单注册前发现有下列情况之一的，仓库应当拒绝转存为期货交割商品，并及时通知会员或者货主：</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（三）棉包出现严重污染、水渍，发现火烧、霉变等，或者有异味的以及包装不完整的；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（六）非本棉花年度生产的；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（七）单包回潮率大于10%的；采用塑料套包法包装的，一批棉花中单包回潮率超过9%，或者按批计算的平均回潮率超过8.5%的；</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（八）经检验发现颜色级有51、32、13、23、33、14、24，长度有小于27毫米，长度整齐度有U5档，马克隆值有C级C1档，断裂比强度有S5档的棉花；</w:t>
      </w:r>
    </w:p>
    <w:p w:rsidR="0066157D" w:rsidRPr="002A79B1" w:rsidRDefault="0066157D" w:rsidP="0066157D">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（九）其他不符合交割规定的。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中转仓单持有人负责中转仓单转为标准仓单的货物运输，并承担运输过程中货物损毁、灭失的责任。</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sidRPr="002A79B1">
        <w:rPr>
          <w:rFonts w:ascii="宋体" w:eastAsia="黑体" w:hAnsi="宋体" w:cs="宋体" w:hint="eastAsia"/>
          <w:kern w:val="0"/>
          <w:sz w:val="28"/>
          <w:szCs w:val="28"/>
        </w:rPr>
        <w:lastRenderedPageBreak/>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中转仓单对应的货物从中转仓库运至仓库转为标准仓单前出现下列情况之一的，仓库不得将其转存为期货交割商品，并应及时通知会员或者客户：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（一）棉包存在严重污染、水渍，发现火烧、霉变，有异味或者包装不完整等情况的；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（二）崩包率大于5%的；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（三）棉花质量指标不符合仓单注销出库规定的；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（四）因自然变异而导致棉花颜色级指标达到或超出仓单注销出库规定80%的；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（五）中转仓单从中转仓库出库之日起，到运至仓库之日止，汽车运输超过10天或者铁路运输超过25天的；出现不可抗力情况的除外。</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66157D" w:rsidRPr="002A79B1" w:rsidRDefault="0066157D" w:rsidP="0066157D">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66157D" w:rsidRPr="002A79B1" w:rsidRDefault="0066157D" w:rsidP="0066157D">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66157D" w:rsidRPr="002A79B1" w:rsidRDefault="0066157D" w:rsidP="0066157D">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第五十三条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第六十二条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第七十二条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66157D"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第八十五条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第八十八条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第八十九条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66157D" w:rsidRPr="002A79B1" w:rsidRDefault="0066157D" w:rsidP="0066157D">
      <w:pPr>
        <w:ind w:firstLineChars="200" w:firstLine="560"/>
      </w:pPr>
      <w:r w:rsidRPr="002A79B1">
        <w:rPr>
          <w:rFonts w:ascii="宋体" w:eastAsia="黑体" w:hAnsi="宋体" w:cs="宋体" w:hint="eastAsia"/>
          <w:kern w:val="0"/>
          <w:sz w:val="28"/>
          <w:szCs w:val="28"/>
        </w:rPr>
        <w:t>第九十一条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66157D" w:rsidRPr="002A79B1" w:rsidRDefault="0066157D" w:rsidP="0066157D">
      <w:pPr>
        <w:widowControl/>
        <w:spacing w:line="360" w:lineRule="auto"/>
        <w:ind w:firstLineChars="200" w:firstLine="560"/>
        <w:outlineLvl w:val="3"/>
        <w:rPr>
          <w:rFonts w:ascii="宋体" w:hAnsi="宋体" w:cs="宋体"/>
          <w:spacing w:val="-6"/>
          <w:kern w:val="0"/>
          <w:sz w:val="28"/>
          <w:szCs w:val="32"/>
        </w:rPr>
      </w:pPr>
      <w:r w:rsidRPr="002A79B1">
        <w:rPr>
          <w:rFonts w:ascii="宋体" w:eastAsia="黑体" w:hAnsi="宋体" w:cs="宋体" w:hint="eastAsia"/>
          <w:kern w:val="0"/>
          <w:sz w:val="28"/>
          <w:szCs w:val="28"/>
        </w:rPr>
        <w:t>第九十三条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66157D" w:rsidRPr="002A79B1" w:rsidRDefault="0066157D" w:rsidP="0066157D">
      <w:pPr>
        <w:ind w:firstLineChars="200" w:firstLine="560"/>
      </w:pPr>
      <w:r w:rsidRPr="002A79B1">
        <w:rPr>
          <w:rFonts w:ascii="宋体" w:eastAsia="黑体" w:hAnsi="宋体" w:cs="宋体" w:hint="eastAsia"/>
          <w:kern w:val="0"/>
          <w:sz w:val="28"/>
          <w:szCs w:val="28"/>
        </w:rPr>
        <w:t>第九十四条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66157D" w:rsidRPr="002A79B1" w:rsidRDefault="0066157D" w:rsidP="0066157D">
      <w:pPr>
        <w:ind w:firstLineChars="200" w:firstLine="560"/>
      </w:pPr>
      <w:r w:rsidRPr="002A79B1">
        <w:rPr>
          <w:rFonts w:ascii="宋体" w:eastAsia="黑体" w:hAnsi="宋体" w:cs="宋体" w:hint="eastAsia"/>
          <w:kern w:val="0"/>
          <w:sz w:val="28"/>
          <w:szCs w:val="28"/>
        </w:rPr>
        <w:lastRenderedPageBreak/>
        <w:t>第九十五条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66157D" w:rsidRPr="002A79B1" w:rsidRDefault="0066157D" w:rsidP="0066157D">
      <w:pPr>
        <w:ind w:firstLineChars="200" w:firstLine="560"/>
        <w:rPr>
          <w:rFonts w:ascii="宋体" w:hAnsi="宋体" w:cs="宋体"/>
          <w:kern w:val="0"/>
          <w:sz w:val="28"/>
          <w:szCs w:val="32"/>
        </w:rPr>
      </w:pPr>
      <w:r w:rsidRPr="002A79B1">
        <w:rPr>
          <w:rFonts w:ascii="宋体" w:eastAsia="黑体" w:hAnsi="宋体" w:cs="宋体" w:hint="eastAsia"/>
          <w:kern w:val="0"/>
          <w:sz w:val="28"/>
          <w:szCs w:val="28"/>
        </w:rPr>
        <w:t>第九十六条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66157D" w:rsidRPr="002A79B1" w:rsidRDefault="0066157D" w:rsidP="0066157D">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第九十九条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eastAsia="黑体" w:hAnsi="宋体" w:cs="宋体" w:hint="eastAsia"/>
          <w:kern w:val="0"/>
          <w:sz w:val="28"/>
          <w:szCs w:val="28"/>
        </w:rPr>
        <w:t>第一百条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标准仓单及中转仓单注册</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个工作日内，仓库或中转仓库对检验结果进行确认并通知货主。对于质量符合交割规定的货物，货主无异议的，自通知货主之日起2个工作日内，仓库或中转仓库应当向交易所申请注册仓库仓单或中转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中转仓单对应的货物从中转仓库运至仓库，经验收合格后2个工作日内，仓库应当向交易所申请将中转仓单转为标准仓单。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66157D" w:rsidRPr="002A79B1" w:rsidRDefault="0066157D" w:rsidP="0066157D">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第一百零二条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66157D" w:rsidRPr="002A79B1" w:rsidRDefault="0066157D" w:rsidP="0066157D">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t>第一百零三条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第一百零四条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第一百零九条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66157D" w:rsidRPr="002A79B1" w:rsidRDefault="0066157D" w:rsidP="0066157D">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标准仓单及中转仓单的有效期</w:t>
      </w:r>
    </w:p>
    <w:p w:rsidR="0066157D" w:rsidRPr="002A79B1" w:rsidRDefault="0066157D" w:rsidP="0066157D">
      <w:pPr>
        <w:widowControl/>
        <w:spacing w:line="360" w:lineRule="auto"/>
        <w:ind w:firstLineChars="200" w:firstLine="560"/>
        <w:outlineLvl w:val="3"/>
        <w:rPr>
          <w:rFonts w:ascii="宋体" w:hAnsi="宋体" w:cs="宋体"/>
          <w:color w:val="000000"/>
          <w:kern w:val="0"/>
          <w:sz w:val="24"/>
          <w:szCs w:val="28"/>
        </w:rPr>
      </w:pPr>
      <w:r w:rsidRPr="002A79B1">
        <w:rPr>
          <w:rFonts w:ascii="宋体" w:eastAsia="黑体" w:hAnsi="宋体" w:cs="宋体" w:hint="eastAsia"/>
          <w:kern w:val="0"/>
          <w:sz w:val="28"/>
          <w:szCs w:val="28"/>
        </w:rPr>
        <w:lastRenderedPageBreak/>
        <w:t>第一百一十条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各品种标准仓单、中转仓单有效期分别如下：</w:t>
      </w:r>
    </w:p>
    <w:p w:rsidR="0066157D" w:rsidRPr="002A79B1" w:rsidRDefault="0066157D" w:rsidP="0066157D">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一号棉：N年生产的棉花注册的标准仓单、中转仓单，有效期至N+2年3月的最后一个工作日。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66157D" w:rsidRPr="002A79B1" w:rsidRDefault="0066157D" w:rsidP="0066157D">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标准仓单及中转仓单的流通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标准仓单及中转仓单的流通是指仓单的交割和转让。</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处于冻结状态和充抵保证金状态的仓单不能流通。</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（三）交易所对标准仓单转让申请审核后，为买卖双方会员办理标准仓单过户和货款结算划转等手续；</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标准仓单及中转仓单的注销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标准仓单、中转仓单的注销是指仓单持有人直接或者委托会员到交易所办理仓单提货手续的过程。</w:t>
      </w:r>
    </w:p>
    <w:p w:rsidR="0066157D" w:rsidRPr="002A79B1" w:rsidRDefault="0066157D" w:rsidP="0066157D">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对于已经注销的PTA、纯碱标准仓单，货物尚未出库但仍符合入库条件的，可重新申请注册。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66157D" w:rsidRPr="002A79B1" w:rsidRDefault="0066157D" w:rsidP="0066157D">
      <w:pPr>
        <w:widowControl/>
        <w:spacing w:line="360" w:lineRule="auto"/>
        <w:ind w:firstLineChars="200" w:firstLine="560"/>
        <w:outlineLvl w:val="3"/>
        <w:rPr>
          <w:rFonts w:ascii="宋体" w:cs="宋体"/>
          <w:b/>
          <w:kern w:val="0"/>
          <w:sz w:val="28"/>
          <w:szCs w:val="28"/>
        </w:rPr>
      </w:pPr>
      <w:r w:rsidRPr="002A79B1">
        <w:rPr>
          <w:rFonts w:ascii="宋体" w:eastAsia="黑体" w:hAnsi="宋体" w:cs="宋体" w:hint="eastAsia"/>
          <w:kern w:val="0"/>
          <w:sz w:val="28"/>
          <w:szCs w:val="28"/>
        </w:rPr>
        <w:t>第一百一十八条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第一百一十九条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棉纱《提货通知单》持有人可根据棉纱厂库公告信息选择相应的规格、品级等，在交易所规定升贴水范围之内的，厂库予以满足；在交易所规定升贴水范围之外的，由双方协商，自行结算。</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仓库及中转仓库交割商品出库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66157D" w:rsidRPr="002A79B1" w:rsidRDefault="0066157D" w:rsidP="0066157D">
      <w:pPr>
        <w:widowControl/>
        <w:spacing w:line="360" w:lineRule="auto"/>
        <w:ind w:firstLineChars="200" w:firstLine="560"/>
        <w:outlineLvl w:val="3"/>
        <w:rPr>
          <w:rFonts w:ascii="宋体" w:hAnsi="宋体" w:cs="宋体"/>
          <w:kern w:val="0"/>
          <w:sz w:val="24"/>
          <w:szCs w:val="28"/>
        </w:rPr>
      </w:pPr>
      <w:r w:rsidRPr="002A79B1">
        <w:rPr>
          <w:rFonts w:ascii="宋体" w:eastAsia="黑体" w:hAnsi="宋体" w:cs="宋体" w:hint="eastAsia"/>
          <w:kern w:val="0"/>
          <w:sz w:val="28"/>
          <w:szCs w:val="28"/>
        </w:rPr>
        <w:t>第一百二十四条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66157D" w:rsidRPr="002A79B1" w:rsidRDefault="0066157D" w:rsidP="0066157D">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颜色级Rd值降低但并未超过3.9%或者+b值增加但并未超过2.7的，由买方客户承担。仓库或中转仓库承担变异超过前述规定部分的颜色级差价，差价的计算根据交易所公告的颜色级之间升贴水标准执行。</w:t>
      </w:r>
    </w:p>
    <w:p w:rsidR="0066157D" w:rsidRPr="002A79B1" w:rsidRDefault="0066157D" w:rsidP="0066157D">
      <w:pPr>
        <w:widowControl/>
        <w:spacing w:line="360" w:lineRule="auto"/>
        <w:ind w:firstLineChars="200" w:firstLine="520"/>
        <w:outlineLvl w:val="3"/>
        <w:rPr>
          <w:rFonts w:ascii="宋体" w:hAnsi="宋体" w:cs="宋体"/>
          <w:kern w:val="0"/>
          <w:sz w:val="28"/>
          <w:szCs w:val="28"/>
        </w:rPr>
      </w:pPr>
      <w:r w:rsidRPr="002A79B1">
        <w:rPr>
          <w:rFonts w:ascii="宋体" w:hAnsi="宋体" w:cs="宋体" w:hint="eastAsia"/>
          <w:spacing w:val="-10"/>
          <w:kern w:val="0"/>
          <w:sz w:val="28"/>
          <w:szCs w:val="28"/>
        </w:rPr>
        <w:t>中转仓单对应的货物从中转仓库运至仓库</w:t>
      </w:r>
      <w:r w:rsidRPr="002A79B1">
        <w:rPr>
          <w:rFonts w:ascii="宋体" w:hAnsi="宋体" w:cs="宋体" w:hint="eastAsia"/>
          <w:kern w:val="0"/>
          <w:sz w:val="28"/>
          <w:szCs w:val="28"/>
        </w:rPr>
        <w:t>出现亏重的，仍可正常办理出库手续，买方客户不得拒绝接货。亏重在1.3％及以内的，由买方客户承担；亏重超过1.3％的，由最初的中转仓单持有人按最近交割月最高交割结算价对买方客户进行补偿，补偿不足部分由注册该中转仓单的中转仓库按最近交割月最高交割结算价补偿。</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第一百二十五条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处于冻结状态的中转仓单用于转化标准仓单而办理出库的，需提前解除冻结状态，并参照标准仓单注销和出库程序办理出库手续。</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66157D" w:rsidRPr="002A79B1" w:rsidRDefault="0066157D" w:rsidP="0066157D">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第一百二十九条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w:t>
      </w:r>
      <w:r w:rsidRPr="002A79B1">
        <w:rPr>
          <w:rFonts w:ascii="宋体" w:hAnsi="宋体" w:cs="宋体" w:hint="eastAsia"/>
          <w:kern w:val="0"/>
          <w:sz w:val="28"/>
          <w:szCs w:val="28"/>
        </w:rPr>
        <w:lastRenderedPageBreak/>
        <w:t>通知单》开具之日前（含当日）菜籽期货最近交割月最高交割结算价核算短少商品价款，赔偿买方货主。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第一百三十四条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p w:rsidR="0066157D" w:rsidRPr="002A79B1" w:rsidRDefault="0066157D" w:rsidP="0066157D">
      <w:pPr>
        <w:widowControl/>
        <w:spacing w:line="360" w:lineRule="auto"/>
        <w:ind w:firstLineChars="202" w:firstLine="566"/>
        <w:rPr>
          <w:rFonts w:ascii="宋体" w:hAnsi="宋体" w:cs="宋体"/>
          <w:b/>
          <w:bCs/>
          <w:kern w:val="0"/>
          <w:sz w:val="28"/>
          <w:szCs w:val="28"/>
        </w:rPr>
      </w:pPr>
      <w:r w:rsidRPr="002A79B1">
        <w:rPr>
          <w:rFonts w:ascii="宋体" w:eastAsia="黑体" w:hAnsi="宋体" w:cs="宋体" w:hint="eastAsia"/>
          <w:kern w:val="0"/>
          <w:sz w:val="28"/>
          <w:szCs w:val="28"/>
        </w:rPr>
        <w:t>第一百四十条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第一百四十二条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66157D" w:rsidRPr="002A79B1" w:rsidRDefault="0066157D" w:rsidP="0066157D">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66157D" w:rsidRPr="002A79B1" w:rsidRDefault="0066157D" w:rsidP="0066157D">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66157D" w:rsidRPr="002A79B1" w:rsidRDefault="0066157D" w:rsidP="0066157D">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第一百四十六条</w:t>
      </w:r>
      <w:r>
        <w:rPr>
          <w:rFonts w:ascii="宋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第一百四十七</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66157D" w:rsidRPr="002A79B1" w:rsidRDefault="0066157D" w:rsidP="0066157D">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66157D" w:rsidRPr="002A79B1" w:rsidRDefault="0066157D" w:rsidP="0066157D">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66157D" w:rsidRPr="002A79B1" w:rsidRDefault="0066157D" w:rsidP="0066157D">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lastRenderedPageBreak/>
        <w:t>第一百五十九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66157D" w:rsidRPr="002A79B1" w:rsidRDefault="0066157D" w:rsidP="0066157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66157D" w:rsidRPr="002A79B1" w:rsidRDefault="0066157D" w:rsidP="0066157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玻璃出库时厂库向货主提供《质量合格证书》，生产日期早于仓单注销日60天（含60天）的玻璃，买方可以拒收。</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w:t>
      </w:r>
      <w:r w:rsidRPr="002A79B1">
        <w:rPr>
          <w:rFonts w:ascii="宋体" w:hAnsi="宋体" w:cs="宋体" w:hint="eastAsia"/>
          <w:kern w:val="0"/>
          <w:sz w:val="28"/>
          <w:szCs w:val="28"/>
        </w:rPr>
        <w:lastRenderedPageBreak/>
        <w:t>可以拒收。厂库交收的纯碱不得出现破包、潮包、结块、严重污染等情况。</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赔偿金额=该品种期货最近交割月最高交割结算价×按商品总量应发而未发的商品数量×120%。</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66157D" w:rsidRPr="002A79B1" w:rsidRDefault="0066157D" w:rsidP="0066157D">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66157D" w:rsidRPr="002A79B1" w:rsidRDefault="0066157D" w:rsidP="0066157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66157D" w:rsidRPr="002A79B1" w:rsidRDefault="0066157D" w:rsidP="0066157D">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66157D" w:rsidRPr="002A79B1" w:rsidRDefault="0066157D" w:rsidP="0066157D">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一号棉入库复检按《期货交割棉公证检验实施办法（暂行）》执行。</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66157D" w:rsidRPr="002A79B1" w:rsidRDefault="0066157D" w:rsidP="0066157D">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一号棉复检按照棉花国家标准和《期货交割棉公证检验实施办法（暂行）》执行。</w:t>
      </w:r>
    </w:p>
    <w:p w:rsidR="0066157D" w:rsidRPr="002A79B1" w:rsidRDefault="0066157D" w:rsidP="0066157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未在规定时间内提出异议的，视为确认出库商品的重量或质量。</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w:t>
      </w:r>
      <w:r w:rsidRPr="002A79B1">
        <w:rPr>
          <w:rFonts w:ascii="宋体" w:hAnsi="宋体" w:cs="宋体" w:hint="eastAsia"/>
          <w:kern w:val="0"/>
          <w:sz w:val="28"/>
          <w:szCs w:val="28"/>
        </w:rPr>
        <w:lastRenderedPageBreak/>
        <w:t>应承担赔偿责任，赔偿金额=该品种期货最近交割月最高交割结算价×复检不符合交割规定的商品数量×120%，对应的货物归厂库所有。</w:t>
      </w:r>
    </w:p>
    <w:p w:rsidR="0066157D" w:rsidRPr="002A79B1" w:rsidRDefault="0066157D" w:rsidP="0066157D">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66157D" w:rsidRPr="002A79B1" w:rsidRDefault="0066157D" w:rsidP="0066157D">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66157D" w:rsidRPr="002A79B1" w:rsidRDefault="0066157D" w:rsidP="0066157D">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66157D" w:rsidRPr="002A79B1" w:rsidRDefault="0066157D" w:rsidP="0066157D">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66157D" w:rsidRPr="002A79B1" w:rsidRDefault="0066157D" w:rsidP="0066157D">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66157D" w:rsidRPr="002A79B1" w:rsidRDefault="0066157D" w:rsidP="0066157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D71A04" w:rsidRPr="0066157D" w:rsidRDefault="0066157D" w:rsidP="0066157D">
      <w:pPr>
        <w:ind w:right="1287"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sidRPr="00514DAF">
        <w:rPr>
          <w:rFonts w:ascii="宋体" w:hAnsi="宋体" w:cs="宋体" w:hint="eastAsia"/>
          <w:kern w:val="0"/>
          <w:sz w:val="28"/>
          <w:szCs w:val="28"/>
        </w:rPr>
        <w:t>7月14日</w:t>
      </w:r>
      <w:r>
        <w:rPr>
          <w:rFonts w:ascii="宋体" w:hAnsi="宋体" w:cs="宋体" w:hint="eastAsia"/>
          <w:kern w:val="0"/>
          <w:sz w:val="28"/>
          <w:szCs w:val="28"/>
        </w:rPr>
        <w:t>起施行。</w:t>
      </w:r>
    </w:p>
    <w:sectPr w:rsidR="00D71A04" w:rsidRPr="0066157D" w:rsidSect="0066157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6F" w:rsidRDefault="00F4336F" w:rsidP="0066157D">
      <w:r>
        <w:separator/>
      </w:r>
    </w:p>
  </w:endnote>
  <w:endnote w:type="continuationSeparator" w:id="1">
    <w:p w:rsidR="00F4336F" w:rsidRDefault="00F4336F" w:rsidP="00661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7D" w:rsidRPr="0066157D" w:rsidRDefault="0066157D" w:rsidP="0066157D">
    <w:pPr>
      <w:pStyle w:val="a4"/>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44</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7D" w:rsidRPr="0066157D" w:rsidRDefault="0066157D" w:rsidP="0066157D">
    <w:pPr>
      <w:pStyle w:val="a4"/>
      <w:wordWrap w:val="0"/>
      <w:jc w:val="right"/>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43</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6F" w:rsidRDefault="00F4336F" w:rsidP="0066157D">
      <w:r>
        <w:separator/>
      </w:r>
    </w:p>
  </w:footnote>
  <w:footnote w:type="continuationSeparator" w:id="1">
    <w:p w:rsidR="00F4336F" w:rsidRDefault="00F4336F" w:rsidP="00661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57D"/>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722E"/>
    <w:rsid w:val="0005088E"/>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3635"/>
    <w:rsid w:val="00344575"/>
    <w:rsid w:val="00344E38"/>
    <w:rsid w:val="00344F5C"/>
    <w:rsid w:val="0034531F"/>
    <w:rsid w:val="00345CF6"/>
    <w:rsid w:val="00346B2A"/>
    <w:rsid w:val="00346BAA"/>
    <w:rsid w:val="003476FB"/>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57D"/>
    <w:rsid w:val="00661E84"/>
    <w:rsid w:val="00662C63"/>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09EC"/>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4F36"/>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36F"/>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2872"/>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7D"/>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57D"/>
    <w:rPr>
      <w:rFonts w:ascii="Times New Roman" w:eastAsia="宋体" w:hAnsi="Times New Roman" w:cs="Times New Roman"/>
      <w:sz w:val="18"/>
      <w:szCs w:val="18"/>
    </w:rPr>
  </w:style>
  <w:style w:type="paragraph" w:styleId="a4">
    <w:name w:val="footer"/>
    <w:basedOn w:val="a"/>
    <w:link w:val="Char0"/>
    <w:unhideWhenUsed/>
    <w:rsid w:val="0066157D"/>
    <w:pPr>
      <w:tabs>
        <w:tab w:val="center" w:pos="4153"/>
        <w:tab w:val="right" w:pos="8306"/>
      </w:tabs>
      <w:snapToGrid w:val="0"/>
      <w:jc w:val="left"/>
    </w:pPr>
    <w:rPr>
      <w:sz w:val="18"/>
      <w:szCs w:val="18"/>
    </w:rPr>
  </w:style>
  <w:style w:type="character" w:customStyle="1" w:styleId="Char0">
    <w:name w:val="页脚 Char"/>
    <w:basedOn w:val="a0"/>
    <w:link w:val="a4"/>
    <w:rsid w:val="0066157D"/>
    <w:rPr>
      <w:rFonts w:ascii="Times New Roman" w:eastAsia="宋体" w:hAnsi="Times New Roman" w:cs="Times New Roman"/>
      <w:sz w:val="18"/>
      <w:szCs w:val="18"/>
    </w:rPr>
  </w:style>
  <w:style w:type="character" w:styleId="a5">
    <w:name w:val="page number"/>
    <w:basedOn w:val="a0"/>
    <w:rsid w:val="006615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3399</Words>
  <Characters>19375</Characters>
  <Application>Microsoft Office Word</Application>
  <DocSecurity>0</DocSecurity>
  <Lines>161</Lines>
  <Paragraphs>45</Paragraphs>
  <ScaleCrop>false</ScaleCrop>
  <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2020-07-14T07:07:00Z</dcterms:created>
  <dcterms:modified xsi:type="dcterms:W3CDTF">2020-07-14T07:08:00Z</dcterms:modified>
</cp:coreProperties>
</file>