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578" w:type="dxa"/>
        <w:tblLayout w:type="fixed"/>
        <w:tblLook w:val="0000"/>
      </w:tblPr>
      <w:tblGrid>
        <w:gridCol w:w="3970"/>
        <w:gridCol w:w="5528"/>
      </w:tblGrid>
      <w:tr w:rsidR="000054D7" w:rsidTr="00140A18">
        <w:tc>
          <w:tcPr>
            <w:tcW w:w="3970" w:type="dxa"/>
            <w:shd w:val="clear" w:color="auto" w:fill="010281"/>
          </w:tcPr>
          <w:p w:rsidR="000054D7" w:rsidRDefault="00757082" w:rsidP="00757082">
            <w:pPr>
              <w:ind w:leftChars="-640" w:left="-1408" w:rightChars="454" w:right="999" w:firstLineChars="99" w:firstLine="317"/>
              <w:rPr>
                <w:b/>
                <w:color w:val="FFFFFF"/>
                <w:sz w:val="32"/>
              </w:rPr>
            </w:pPr>
            <w:r>
              <w:rPr>
                <w:b/>
                <w:color w:val="FFFFFF"/>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51658240;mso-position-horizontal-relative:margin;mso-position-vertical-relative:page" fillcolor="#f2f2f2" stroked="f">
                  <v:textbox style="layout-flow:vertical-ideographic"/>
                  <w10:wrap anchorx="margin" anchory="page"/>
                </v:shape>
              </w:pict>
            </w:r>
            <w:r w:rsidR="000054D7">
              <w:rPr>
                <w:b/>
                <w:color w:val="FFFFFF"/>
                <w:sz w:val="32"/>
              </w:rPr>
              <w:t xml:space="preserve"> </w:t>
            </w:r>
          </w:p>
        </w:tc>
        <w:tc>
          <w:tcPr>
            <w:tcW w:w="5528" w:type="dxa"/>
            <w:shd w:val="clear" w:color="auto" w:fill="010281"/>
          </w:tcPr>
          <w:p w:rsidR="000054D7" w:rsidRDefault="00140A18" w:rsidP="00E71B76">
            <w:pPr>
              <w:ind w:leftChars="-640" w:left="-1408" w:rightChars="80" w:right="176" w:firstLineChars="99" w:firstLine="318"/>
              <w:jc w:val="right"/>
              <w:rPr>
                <w:b/>
                <w:color w:val="FFFFFF"/>
                <w:sz w:val="32"/>
              </w:rPr>
            </w:pPr>
            <w:r>
              <w:rPr>
                <w:rFonts w:ascii="宋体" w:eastAsia="宋体" w:hAnsi="宋体" w:cs="宋体" w:hint="eastAsia"/>
                <w:b/>
                <w:color w:val="FFFFFF"/>
                <w:sz w:val="32"/>
              </w:rPr>
              <w:t>金融衍生品</w:t>
            </w:r>
            <w:r>
              <w:rPr>
                <w:rFonts w:hint="eastAsia"/>
                <w:b/>
                <w:color w:val="FFFFFF"/>
                <w:sz w:val="32"/>
              </w:rPr>
              <w:t>/</w:t>
            </w:r>
            <w:r w:rsidR="0066129D">
              <w:rPr>
                <w:rFonts w:ascii="宋体" w:eastAsia="宋体" w:hAnsi="宋体" w:cs="宋体" w:hint="eastAsia"/>
                <w:b/>
                <w:color w:val="FFFFFF"/>
                <w:sz w:val="32"/>
              </w:rPr>
              <w:t>全球商品研究</w:t>
            </w:r>
            <w:r w:rsidR="000D5A21">
              <w:rPr>
                <w:rFonts w:hint="eastAsia"/>
                <w:b/>
                <w:color w:val="FFFFFF"/>
                <w:sz w:val="32"/>
              </w:rPr>
              <w:t>·</w:t>
            </w:r>
            <w:r w:rsidR="00E71B76">
              <w:rPr>
                <w:rFonts w:hint="eastAsia"/>
                <w:b/>
                <w:color w:val="FFFFFF"/>
                <w:sz w:val="32"/>
              </w:rPr>
              <w:t>原油</w:t>
            </w:r>
          </w:p>
        </w:tc>
      </w:tr>
      <w:tr w:rsidR="007B6012" w:rsidRPr="00D342EB" w:rsidTr="00140A18">
        <w:tblPrEx>
          <w:tblBorders>
            <w:bottom w:val="single" w:sz="18" w:space="0" w:color="010281"/>
          </w:tblBorders>
        </w:tblPrEx>
        <w:trPr>
          <w:trHeight w:val="728"/>
        </w:trPr>
        <w:tc>
          <w:tcPr>
            <w:tcW w:w="3970" w:type="dxa"/>
            <w:tcBorders>
              <w:bottom w:val="single" w:sz="18" w:space="0" w:color="010281"/>
              <w:right w:val="nil"/>
            </w:tcBorders>
          </w:tcPr>
          <w:p w:rsidR="007B6012" w:rsidRPr="00D12BE6" w:rsidRDefault="007B6012" w:rsidP="007B6012">
            <w:pPr>
              <w:ind w:rightChars="454" w:right="999" w:firstLineChars="99" w:firstLine="218"/>
              <w:rPr>
                <w:sz w:val="36"/>
              </w:rPr>
            </w:pPr>
            <w:r w:rsidRPr="007B6012">
              <w:rPr>
                <w:rFonts w:hint="eastAsia"/>
              </w:rPr>
              <w:t>兴证期货</w:t>
            </w:r>
            <w:r w:rsidRPr="007B6012">
              <w:rPr>
                <w:rFonts w:hint="eastAsia"/>
              </w:rPr>
              <w:t>.</w:t>
            </w:r>
            <w:r w:rsidRPr="007B6012">
              <w:rPr>
                <w:rFonts w:hint="eastAsia"/>
              </w:rPr>
              <w:t>研发产品系列</w:t>
            </w:r>
          </w:p>
        </w:tc>
        <w:tc>
          <w:tcPr>
            <w:tcW w:w="5528" w:type="dxa"/>
            <w:tcBorders>
              <w:left w:val="nil"/>
              <w:bottom w:val="single" w:sz="18" w:space="0" w:color="010281"/>
            </w:tcBorders>
          </w:tcPr>
          <w:p w:rsidR="007B6012" w:rsidRPr="000565FB" w:rsidRDefault="00AD1F75" w:rsidP="00AD1F75">
            <w:pPr>
              <w:pStyle w:val="ac"/>
              <w:tabs>
                <w:tab w:val="left" w:pos="6946"/>
              </w:tabs>
              <w:ind w:rightChars="-49" w:right="-108" w:firstLineChars="0" w:firstLine="0"/>
              <w:jc w:val="right"/>
              <w:rPr>
                <w:sz w:val="36"/>
                <w:szCs w:val="36"/>
              </w:rPr>
            </w:pPr>
            <w:r w:rsidRPr="000565FB">
              <w:rPr>
                <w:rFonts w:ascii="Times New Roman" w:hint="eastAsia"/>
                <w:sz w:val="36"/>
                <w:szCs w:val="36"/>
              </w:rPr>
              <w:t>短期油价仍将获得支撑</w:t>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r>
              <w:rPr>
                <w:rFonts w:ascii="楷体" w:eastAsia="楷体" w:hAnsi="楷体" w:hint="eastAsia"/>
                <w:color w:val="010281"/>
              </w:rPr>
              <w:t>兴证期货.</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0C291F" w:rsidRDefault="00E71B76" w:rsidP="000C291F">
            <w:pPr>
              <w:ind w:firstLineChars="0" w:firstLine="0"/>
              <w:jc w:val="left"/>
              <w:rPr>
                <w:rFonts w:ascii="楷体" w:eastAsia="楷体" w:hAnsi="楷体"/>
                <w:color w:val="010281"/>
              </w:rPr>
            </w:pPr>
            <w:r>
              <w:rPr>
                <w:rFonts w:ascii="楷体" w:eastAsia="楷体" w:hAnsi="楷体" w:hint="eastAsia"/>
                <w:color w:val="010281"/>
              </w:rPr>
              <w:t>能化</w:t>
            </w:r>
            <w:r w:rsidR="000C291F">
              <w:rPr>
                <w:rFonts w:ascii="楷体" w:eastAsia="楷体" w:hAnsi="楷体" w:hint="eastAsia"/>
                <w:color w:val="010281"/>
              </w:rPr>
              <w:t>研究团队</w:t>
            </w:r>
          </w:p>
          <w:p w:rsidR="006D34FD" w:rsidRPr="000C6B21" w:rsidRDefault="00E71B76" w:rsidP="000C291F">
            <w:pPr>
              <w:ind w:firstLineChars="0" w:firstLine="0"/>
              <w:jc w:val="left"/>
              <w:rPr>
                <w:rFonts w:ascii="楷体" w:eastAsia="楷体" w:hAnsi="楷体"/>
                <w:color w:val="010281"/>
              </w:rPr>
            </w:pPr>
            <w:r>
              <w:rPr>
                <w:rFonts w:ascii="楷体" w:eastAsia="楷体" w:hAnsi="楷体" w:hint="eastAsia"/>
                <w:color w:val="010281"/>
              </w:rPr>
              <w:t>林惠</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E71B76">
              <w:rPr>
                <w:rFonts w:ascii="楷体" w:eastAsia="楷体" w:hAnsi="楷体" w:hint="eastAsia"/>
                <w:color w:val="010281"/>
              </w:rPr>
              <w:t>F0306148</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E71B76" w:rsidRPr="00B208CC">
              <w:rPr>
                <w:rFonts w:ascii="楷体" w:eastAsia="楷体" w:hAnsi="楷体" w:hint="eastAsia"/>
                <w:color w:val="010281"/>
              </w:rPr>
              <w:t>Z0012671</w:t>
            </w:r>
          </w:p>
          <w:p w:rsidR="005B2E1B" w:rsidRPr="000C6B21" w:rsidRDefault="00E71B76" w:rsidP="005B2E1B">
            <w:pPr>
              <w:ind w:firstLineChars="0" w:firstLine="0"/>
              <w:jc w:val="left"/>
              <w:rPr>
                <w:rFonts w:ascii="楷体" w:eastAsia="楷体" w:hAnsi="楷体"/>
                <w:color w:val="010281"/>
              </w:rPr>
            </w:pPr>
            <w:r>
              <w:rPr>
                <w:rFonts w:ascii="楷体" w:eastAsia="楷体" w:hAnsi="楷体" w:hint="eastAsia"/>
                <w:color w:val="010281"/>
              </w:rPr>
              <w:t>刘佳利</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E71B76" w:rsidRPr="00B208CC">
              <w:rPr>
                <w:rFonts w:ascii="楷体" w:eastAsia="楷体" w:hAnsi="楷体" w:hint="eastAsia"/>
                <w:color w:val="010281"/>
              </w:rPr>
              <w:t>F0302346</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E71B76" w:rsidRPr="00B208CC">
              <w:rPr>
                <w:rFonts w:ascii="楷体" w:eastAsia="楷体" w:hAnsi="楷体" w:hint="eastAsia"/>
                <w:color w:val="010281"/>
              </w:rPr>
              <w:t>Z0011397</w:t>
            </w:r>
          </w:p>
          <w:p w:rsidR="005B2E1B" w:rsidRPr="000C6B21" w:rsidRDefault="00E71B76" w:rsidP="005B2E1B">
            <w:pPr>
              <w:ind w:firstLineChars="0" w:firstLine="0"/>
              <w:jc w:val="left"/>
              <w:rPr>
                <w:rFonts w:ascii="楷体" w:eastAsia="楷体" w:hAnsi="楷体"/>
                <w:color w:val="010281"/>
              </w:rPr>
            </w:pPr>
            <w:r>
              <w:rPr>
                <w:rFonts w:ascii="楷体" w:eastAsia="楷体" w:hAnsi="楷体" w:hint="eastAsia"/>
                <w:color w:val="010281"/>
              </w:rPr>
              <w:t>施海</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E71B76" w:rsidRPr="00B208CC">
              <w:rPr>
                <w:rFonts w:ascii="楷体" w:eastAsia="楷体" w:hAnsi="楷体" w:hint="eastAsia"/>
                <w:color w:val="010281"/>
              </w:rPr>
              <w:t>F0273014</w:t>
            </w:r>
          </w:p>
          <w:p w:rsidR="005B2E1B" w:rsidRP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E71B76" w:rsidRPr="00B208CC">
              <w:rPr>
                <w:rFonts w:ascii="楷体" w:eastAsia="楷体" w:hAnsi="楷体" w:hint="eastAsia"/>
                <w:color w:val="010281"/>
              </w:rPr>
              <w:t>Z0011937</w:t>
            </w:r>
          </w:p>
          <w:p w:rsidR="005B2E1B" w:rsidRDefault="005B2E1B" w:rsidP="000C291F">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r>
              <w:rPr>
                <w:rFonts w:ascii="楷体" w:eastAsia="楷体" w:hAnsi="楷体" w:hint="eastAsia"/>
                <w:color w:val="010281"/>
              </w:rPr>
              <w:t>联系人</w:t>
            </w:r>
          </w:p>
          <w:p w:rsidR="005B2E1B" w:rsidRDefault="00E71B76" w:rsidP="000C291F">
            <w:pPr>
              <w:ind w:firstLineChars="0" w:firstLine="0"/>
              <w:jc w:val="left"/>
              <w:rPr>
                <w:rFonts w:ascii="楷体" w:eastAsia="楷体" w:hAnsi="楷体"/>
                <w:color w:val="010281"/>
              </w:rPr>
            </w:pPr>
            <w:r>
              <w:rPr>
                <w:rFonts w:ascii="楷体" w:eastAsia="楷体" w:hAnsi="楷体" w:hint="eastAsia"/>
                <w:color w:val="010281"/>
              </w:rPr>
              <w:t>刘佳利</w:t>
            </w:r>
          </w:p>
          <w:p w:rsidR="006D34FD" w:rsidRPr="000C6B21"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021-2037</w:t>
            </w:r>
            <w:r w:rsidR="00E71B76">
              <w:rPr>
                <w:rFonts w:ascii="楷体" w:eastAsia="楷体" w:hAnsi="楷体" w:hint="eastAsia"/>
                <w:color w:val="010281"/>
              </w:rPr>
              <w:t>0972</w:t>
            </w:r>
          </w:p>
          <w:p w:rsidR="000054D7" w:rsidRPr="005B2E1B" w:rsidRDefault="00E71B76" w:rsidP="005B2E1B">
            <w:pPr>
              <w:ind w:firstLineChars="0" w:firstLine="0"/>
              <w:jc w:val="left"/>
              <w:rPr>
                <w:rFonts w:ascii="楷体" w:eastAsia="楷体" w:hAnsi="楷体"/>
                <w:color w:val="010281"/>
              </w:rPr>
            </w:pPr>
            <w:r>
              <w:rPr>
                <w:rFonts w:hint="eastAsia"/>
              </w:rPr>
              <w:t>liujl</w:t>
            </w:r>
            <w:hyperlink r:id="rId8" w:history="1">
              <w:r w:rsidR="005B2E1B" w:rsidRPr="00F456BC">
                <w:rPr>
                  <w:rStyle w:val="a7"/>
                  <w:rFonts w:ascii="楷体" w:eastAsia="楷体" w:hAnsi="楷体" w:hint="eastAsia"/>
                </w:rPr>
                <w:t>@</w:t>
              </w:r>
              <w:r w:rsidR="005B2E1B" w:rsidRPr="00F456BC">
                <w:rPr>
                  <w:rStyle w:val="a7"/>
                  <w:rFonts w:ascii="楷体" w:eastAsia="楷体" w:hAnsi="楷体"/>
                </w:rPr>
                <w:t>xzfutures</w:t>
              </w:r>
              <w:r w:rsidR="005B2E1B" w:rsidRPr="00F456BC">
                <w:rPr>
                  <w:rStyle w:val="a7"/>
                  <w:rFonts w:ascii="楷体" w:eastAsia="楷体" w:hAnsi="楷体" w:hint="eastAsia"/>
                </w:rPr>
                <w:t>.com</w:t>
              </w:r>
            </w:hyperlink>
          </w:p>
        </w:tc>
      </w:tr>
    </w:tbl>
    <w:p w:rsidR="000054D7" w:rsidRDefault="00757082">
      <w:pPr>
        <w:ind w:firstLineChars="0" w:firstLine="0"/>
        <w:jc w:val="right"/>
        <w:rPr>
          <w:rStyle w:val="a4"/>
        </w:rPr>
      </w:pPr>
      <w:bookmarkStart w:id="0" w:name="_GoBack"/>
      <w:bookmarkEnd w:id="0"/>
      <w:r w:rsidRPr="00757082">
        <w:rPr>
          <w:noProof/>
          <w:sz w:val="36"/>
        </w:rPr>
        <w:pict>
          <v:shapetype id="_x0000_t109" coordsize="21600,21600" o:spt="109" path="m,l,21600r21600,l21600,xe">
            <v:stroke joinstyle="miter"/>
            <v:path gradientshapeok="t" o:connecttype="rect"/>
          </v:shapetype>
          <v:shape id="AutoShape 2" o:spid="_x0000_s1028" type="#_x0000_t109" style="position:absolute;left:0;text-align:left;margin-left:-184.75pt;margin-top:80.05pt;width:139.5pt;height:33.2pt;z-index:251657216;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064E7C" w:rsidRDefault="00064E7C" w:rsidP="00064E7C">
                  <w:pPr>
                    <w:spacing w:line="400" w:lineRule="exact"/>
                    <w:ind w:firstLineChars="0" w:firstLine="0"/>
                    <w:jc w:val="center"/>
                  </w:pPr>
                  <w:r>
                    <w:rPr>
                      <w:rFonts w:hint="eastAsia"/>
                      <w:b/>
                      <w:color w:val="FFFFFF"/>
                      <w:sz w:val="32"/>
                    </w:rPr>
                    <w:t>月</w:t>
                  </w:r>
                  <w:r w:rsidRPr="00C85119">
                    <w:rPr>
                      <w:rFonts w:hint="eastAsia"/>
                      <w:b/>
                      <w:color w:val="FFFFFF"/>
                      <w:sz w:val="32"/>
                    </w:rPr>
                    <w:t>度报告</w:t>
                  </w:r>
                </w:p>
              </w:txbxContent>
            </v:textbox>
            <w10:wrap anchorx="margin" anchory="page"/>
          </v:shape>
        </w:pict>
      </w:r>
      <w:r w:rsidR="000054D7">
        <w:rPr>
          <w:rFonts w:hint="eastAsia"/>
        </w:rPr>
        <w:t>201</w:t>
      </w:r>
      <w:r w:rsidR="000A5691">
        <w:t>8</w:t>
      </w:r>
      <w:r w:rsidR="000054D7">
        <w:rPr>
          <w:rFonts w:hint="eastAsia"/>
        </w:rPr>
        <w:t>年</w:t>
      </w:r>
      <w:r w:rsidR="00E71B76">
        <w:rPr>
          <w:rFonts w:hint="eastAsia"/>
        </w:rPr>
        <w:t>4</w:t>
      </w:r>
      <w:r w:rsidR="000054D7">
        <w:rPr>
          <w:rFonts w:hint="eastAsia"/>
        </w:rPr>
        <w:t>月</w:t>
      </w:r>
      <w:r w:rsidR="00E71B76">
        <w:rPr>
          <w:rFonts w:hint="eastAsia"/>
        </w:rPr>
        <w:t>2</w:t>
      </w:r>
      <w:r w:rsidR="000054D7">
        <w:rPr>
          <w:rFonts w:hint="eastAsia"/>
        </w:rPr>
        <w:t>日</w:t>
      </w:r>
      <w:r w:rsidR="000054D7">
        <w:rPr>
          <w:rFonts w:hint="eastAsia"/>
        </w:rPr>
        <w:t xml:space="preserve">  </w:t>
      </w:r>
      <w:r w:rsidR="000054D7">
        <w:rPr>
          <w:rFonts w:hint="eastAsia"/>
        </w:rPr>
        <w:t>星期</w:t>
      </w:r>
      <w:r w:rsidR="00580AA7">
        <w:rPr>
          <w:rFonts w:hint="eastAsia"/>
        </w:rPr>
        <w:t>一</w:t>
      </w:r>
    </w:p>
    <w:p w:rsidR="00E03F09" w:rsidRPr="00D263F3" w:rsidRDefault="00E03F09" w:rsidP="00E03F09">
      <w:pPr>
        <w:ind w:firstLineChars="0" w:firstLine="0"/>
        <w:jc w:val="left"/>
        <w:rPr>
          <w:rStyle w:val="a4"/>
        </w:rPr>
      </w:pPr>
      <w:r w:rsidRPr="00D263F3">
        <w:rPr>
          <w:rStyle w:val="a4"/>
          <w:rFonts w:hint="eastAsia"/>
        </w:rPr>
        <w:t>内容提要</w:t>
      </w:r>
    </w:p>
    <w:p w:rsidR="00E03F09" w:rsidRPr="00C12AE6" w:rsidRDefault="00E03F09" w:rsidP="00E03F09">
      <w:pPr>
        <w:pStyle w:val="a"/>
        <w:numPr>
          <w:ilvl w:val="0"/>
          <w:numId w:val="4"/>
        </w:numPr>
        <w:spacing w:before="163"/>
        <w:ind w:firstLineChars="0"/>
        <w:rPr>
          <w:rStyle w:val="a4"/>
          <w:rFonts w:ascii="华文细黑" w:eastAsia="华文细黑" w:hAnsi="华文细黑"/>
          <w:sz w:val="28"/>
        </w:rPr>
      </w:pPr>
      <w:r w:rsidRPr="00EB7D88">
        <w:rPr>
          <w:rStyle w:val="a4"/>
          <w:rFonts w:ascii="华文细黑" w:eastAsia="华文细黑" w:hAnsi="华文细黑" w:hint="eastAsia"/>
          <w:sz w:val="28"/>
        </w:rPr>
        <w:t>行情</w:t>
      </w:r>
      <w:r w:rsidRPr="00C12AE6">
        <w:rPr>
          <w:rStyle w:val="a4"/>
          <w:rFonts w:ascii="华文细黑" w:eastAsia="华文细黑" w:hAnsi="华文细黑" w:hint="eastAsia"/>
          <w:sz w:val="28"/>
        </w:rPr>
        <w:t>回顾</w:t>
      </w:r>
    </w:p>
    <w:p w:rsidR="00E03F09" w:rsidRPr="00B67AE3" w:rsidRDefault="00B67AE3" w:rsidP="00AA11F9">
      <w:pPr>
        <w:ind w:firstLine="440"/>
        <w:rPr>
          <w:color w:val="auto"/>
        </w:rPr>
      </w:pPr>
      <w:r w:rsidRPr="00B67AE3">
        <w:rPr>
          <w:rFonts w:hint="eastAsia"/>
          <w:color w:val="auto"/>
        </w:rPr>
        <w:t>3</w:t>
      </w:r>
      <w:r w:rsidRPr="00B67AE3">
        <w:rPr>
          <w:rFonts w:hint="eastAsia"/>
          <w:color w:val="auto"/>
        </w:rPr>
        <w:t>月份布伦特原油期货价格收高，月上涨</w:t>
      </w:r>
      <w:r w:rsidRPr="00B67AE3">
        <w:rPr>
          <w:rFonts w:hint="eastAsia"/>
          <w:color w:val="auto"/>
        </w:rPr>
        <w:t>4.6</w:t>
      </w:r>
      <w:r w:rsidRPr="00B67AE3">
        <w:rPr>
          <w:rFonts w:hint="eastAsia"/>
          <w:color w:val="auto"/>
        </w:rPr>
        <w:t>美元，涨幅</w:t>
      </w:r>
      <w:r w:rsidRPr="00B67AE3">
        <w:rPr>
          <w:rFonts w:hint="eastAsia"/>
          <w:color w:val="auto"/>
        </w:rPr>
        <w:t>7.1%</w:t>
      </w:r>
      <w:r w:rsidRPr="00B67AE3">
        <w:rPr>
          <w:rFonts w:hint="eastAsia"/>
          <w:color w:val="auto"/>
        </w:rPr>
        <w:t>，收于</w:t>
      </w:r>
      <w:r w:rsidRPr="00B67AE3">
        <w:rPr>
          <w:rFonts w:hint="eastAsia"/>
          <w:color w:val="auto"/>
        </w:rPr>
        <w:t>69.35</w:t>
      </w:r>
      <w:r w:rsidRPr="00B67AE3">
        <w:rPr>
          <w:rFonts w:hint="eastAsia"/>
          <w:color w:val="auto"/>
        </w:rPr>
        <w:t>美元</w:t>
      </w:r>
      <w:r w:rsidRPr="00B67AE3">
        <w:rPr>
          <w:rFonts w:hint="eastAsia"/>
          <w:color w:val="auto"/>
        </w:rPr>
        <w:t>/</w:t>
      </w:r>
      <w:r w:rsidRPr="00B67AE3">
        <w:rPr>
          <w:rFonts w:hint="eastAsia"/>
          <w:color w:val="auto"/>
        </w:rPr>
        <w:t>桶。</w:t>
      </w:r>
      <w:r w:rsidRPr="00B67AE3">
        <w:rPr>
          <w:rFonts w:hint="eastAsia"/>
          <w:color w:val="auto"/>
        </w:rPr>
        <w:t>WTI</w:t>
      </w:r>
      <w:r w:rsidRPr="00B67AE3">
        <w:rPr>
          <w:rFonts w:hint="eastAsia"/>
          <w:color w:val="auto"/>
        </w:rPr>
        <w:t>原油期货价格同样上涨</w:t>
      </w:r>
      <w:r w:rsidRPr="00B67AE3">
        <w:rPr>
          <w:rFonts w:hint="eastAsia"/>
          <w:color w:val="auto"/>
        </w:rPr>
        <w:t>3.36</w:t>
      </w:r>
      <w:r w:rsidRPr="00B67AE3">
        <w:rPr>
          <w:rFonts w:hint="eastAsia"/>
          <w:color w:val="auto"/>
        </w:rPr>
        <w:t>美元，涨幅</w:t>
      </w:r>
      <w:r w:rsidRPr="00B67AE3">
        <w:rPr>
          <w:rFonts w:hint="eastAsia"/>
          <w:color w:val="auto"/>
        </w:rPr>
        <w:t>5.46%</w:t>
      </w:r>
      <w:r w:rsidRPr="00B67AE3">
        <w:rPr>
          <w:rFonts w:hint="eastAsia"/>
          <w:color w:val="auto"/>
        </w:rPr>
        <w:t>，收于</w:t>
      </w:r>
      <w:r w:rsidRPr="00B67AE3">
        <w:rPr>
          <w:rFonts w:hint="eastAsia"/>
          <w:color w:val="auto"/>
        </w:rPr>
        <w:t>64.91</w:t>
      </w:r>
      <w:r w:rsidRPr="00B67AE3">
        <w:rPr>
          <w:rFonts w:hint="eastAsia"/>
          <w:color w:val="auto"/>
        </w:rPr>
        <w:t>美元</w:t>
      </w:r>
      <w:r w:rsidRPr="00B67AE3">
        <w:rPr>
          <w:rFonts w:hint="eastAsia"/>
          <w:color w:val="auto"/>
        </w:rPr>
        <w:t>/</w:t>
      </w:r>
      <w:r w:rsidRPr="00B67AE3">
        <w:rPr>
          <w:rFonts w:hint="eastAsia"/>
          <w:color w:val="auto"/>
        </w:rPr>
        <w:t>桶。</w:t>
      </w:r>
      <w:r w:rsidR="009E5AEB">
        <w:rPr>
          <w:rFonts w:hint="eastAsia"/>
          <w:color w:val="auto"/>
        </w:rPr>
        <w:t>3</w:t>
      </w:r>
      <w:r w:rsidR="009E5AEB" w:rsidRPr="009E5AEB">
        <w:rPr>
          <w:rFonts w:hint="eastAsia"/>
          <w:color w:val="auto"/>
        </w:rPr>
        <w:t>月</w:t>
      </w:r>
      <w:r w:rsidR="009E5AEB" w:rsidRPr="009E5AEB">
        <w:rPr>
          <w:rFonts w:hint="eastAsia"/>
          <w:color w:val="auto"/>
        </w:rPr>
        <w:t>26</w:t>
      </w:r>
      <w:r w:rsidR="009E5AEB" w:rsidRPr="009E5AEB">
        <w:rPr>
          <w:rFonts w:hint="eastAsia"/>
          <w:color w:val="auto"/>
        </w:rPr>
        <w:t>日</w:t>
      </w:r>
      <w:r w:rsidRPr="00B67AE3">
        <w:rPr>
          <w:rFonts w:hint="eastAsia"/>
          <w:color w:val="auto"/>
        </w:rPr>
        <w:t>国内原油期货上市，主力</w:t>
      </w:r>
      <w:r w:rsidRPr="00B67AE3">
        <w:rPr>
          <w:rFonts w:hint="eastAsia"/>
          <w:color w:val="auto"/>
        </w:rPr>
        <w:t>1809</w:t>
      </w:r>
      <w:r w:rsidRPr="00B67AE3">
        <w:rPr>
          <w:rFonts w:hint="eastAsia"/>
          <w:color w:val="auto"/>
        </w:rPr>
        <w:t>合约挂盘基准价为</w:t>
      </w:r>
      <w:r w:rsidRPr="00B67AE3">
        <w:rPr>
          <w:rFonts w:hint="eastAsia"/>
          <w:color w:val="auto"/>
        </w:rPr>
        <w:t>416</w:t>
      </w:r>
      <w:r w:rsidRPr="00B67AE3">
        <w:rPr>
          <w:rFonts w:hint="eastAsia"/>
          <w:color w:val="auto"/>
        </w:rPr>
        <w:t>元</w:t>
      </w:r>
      <w:r w:rsidRPr="00B67AE3">
        <w:rPr>
          <w:rFonts w:hint="eastAsia"/>
          <w:color w:val="auto"/>
        </w:rPr>
        <w:t>/</w:t>
      </w:r>
      <w:r w:rsidRPr="00B67AE3">
        <w:rPr>
          <w:rFonts w:hint="eastAsia"/>
          <w:color w:val="auto"/>
        </w:rPr>
        <w:t>桶，开盘价</w:t>
      </w:r>
      <w:r w:rsidRPr="00B67AE3">
        <w:rPr>
          <w:rFonts w:hint="eastAsia"/>
          <w:color w:val="auto"/>
        </w:rPr>
        <w:t>440</w:t>
      </w:r>
      <w:r w:rsidRPr="00B67AE3">
        <w:rPr>
          <w:rFonts w:hint="eastAsia"/>
          <w:color w:val="auto"/>
        </w:rPr>
        <w:t>元</w:t>
      </w:r>
      <w:r w:rsidRPr="00B67AE3">
        <w:rPr>
          <w:rFonts w:hint="eastAsia"/>
          <w:color w:val="auto"/>
        </w:rPr>
        <w:t>/</w:t>
      </w:r>
      <w:r w:rsidRPr="00B67AE3">
        <w:rPr>
          <w:rFonts w:hint="eastAsia"/>
          <w:color w:val="auto"/>
        </w:rPr>
        <w:t>桶，最高价</w:t>
      </w:r>
      <w:r w:rsidRPr="00B67AE3">
        <w:rPr>
          <w:rFonts w:hint="eastAsia"/>
          <w:color w:val="auto"/>
        </w:rPr>
        <w:t>447.1</w:t>
      </w:r>
      <w:r w:rsidRPr="00B67AE3">
        <w:rPr>
          <w:rFonts w:hint="eastAsia"/>
          <w:color w:val="auto"/>
        </w:rPr>
        <w:t>元</w:t>
      </w:r>
      <w:r w:rsidRPr="00B67AE3">
        <w:rPr>
          <w:rFonts w:hint="eastAsia"/>
          <w:color w:val="auto"/>
        </w:rPr>
        <w:t>/</w:t>
      </w:r>
      <w:r w:rsidRPr="00B67AE3">
        <w:rPr>
          <w:rFonts w:hint="eastAsia"/>
          <w:color w:val="auto"/>
        </w:rPr>
        <w:t>桶，最低价</w:t>
      </w:r>
      <w:r w:rsidRPr="00B67AE3">
        <w:rPr>
          <w:rFonts w:hint="eastAsia"/>
          <w:color w:val="auto"/>
        </w:rPr>
        <w:t>401.6</w:t>
      </w:r>
      <w:r w:rsidRPr="00B67AE3">
        <w:rPr>
          <w:rFonts w:hint="eastAsia"/>
          <w:color w:val="auto"/>
        </w:rPr>
        <w:t>元</w:t>
      </w:r>
      <w:r w:rsidRPr="00B67AE3">
        <w:rPr>
          <w:rFonts w:hint="eastAsia"/>
          <w:color w:val="auto"/>
        </w:rPr>
        <w:t>/</w:t>
      </w:r>
      <w:r w:rsidRPr="00B67AE3">
        <w:rPr>
          <w:rFonts w:hint="eastAsia"/>
          <w:color w:val="auto"/>
        </w:rPr>
        <w:t>桶，收于</w:t>
      </w:r>
      <w:r w:rsidRPr="00B67AE3">
        <w:rPr>
          <w:rFonts w:hint="eastAsia"/>
          <w:color w:val="auto"/>
        </w:rPr>
        <w:t>418.8</w:t>
      </w:r>
      <w:r w:rsidRPr="00B67AE3">
        <w:rPr>
          <w:rFonts w:hint="eastAsia"/>
          <w:color w:val="auto"/>
        </w:rPr>
        <w:t>元</w:t>
      </w:r>
      <w:r w:rsidRPr="00B67AE3">
        <w:rPr>
          <w:rFonts w:hint="eastAsia"/>
          <w:color w:val="auto"/>
        </w:rPr>
        <w:t>/</w:t>
      </w:r>
      <w:r w:rsidRPr="00B67AE3">
        <w:rPr>
          <w:rFonts w:hint="eastAsia"/>
          <w:color w:val="auto"/>
        </w:rPr>
        <w:t>桶。</w:t>
      </w:r>
    </w:p>
    <w:p w:rsidR="00E03F09" w:rsidRPr="00EB7D88" w:rsidRDefault="00E03F09" w:rsidP="00E03F09">
      <w:pPr>
        <w:pStyle w:val="a"/>
        <w:numPr>
          <w:ilvl w:val="0"/>
          <w:numId w:val="4"/>
        </w:numPr>
        <w:spacing w:before="163"/>
        <w:ind w:firstLineChars="0"/>
        <w:rPr>
          <w:rStyle w:val="a4"/>
          <w:rFonts w:ascii="华文细黑" w:eastAsia="华文细黑" w:hAnsi="华文细黑"/>
          <w:sz w:val="28"/>
        </w:rPr>
      </w:pPr>
      <w:r w:rsidRPr="00EB7D88">
        <w:rPr>
          <w:rStyle w:val="a4"/>
          <w:rFonts w:ascii="华文细黑" w:eastAsia="华文细黑" w:hAnsi="华文细黑" w:hint="eastAsia"/>
          <w:sz w:val="28"/>
        </w:rPr>
        <w:t>后市展望及策略建议</w:t>
      </w:r>
    </w:p>
    <w:p w:rsidR="00BC2282" w:rsidRPr="00BC2282" w:rsidRDefault="00BC2282" w:rsidP="00BC2282">
      <w:pPr>
        <w:ind w:firstLine="440"/>
        <w:rPr>
          <w:color w:val="auto"/>
        </w:rPr>
      </w:pPr>
      <w:r w:rsidRPr="00BC2282">
        <w:rPr>
          <w:rFonts w:hint="eastAsia"/>
          <w:color w:val="auto"/>
        </w:rPr>
        <w:t>近期中东地缘风险因素将继续支撑油价高位运行，另外</w:t>
      </w:r>
      <w:r w:rsidRPr="00BC2282">
        <w:rPr>
          <w:rFonts w:hint="eastAsia"/>
          <w:color w:val="auto"/>
        </w:rPr>
        <w:t>6</w:t>
      </w:r>
      <w:r w:rsidRPr="00BC2282">
        <w:rPr>
          <w:rFonts w:hint="eastAsia"/>
          <w:color w:val="auto"/>
        </w:rPr>
        <w:t>月份</w:t>
      </w:r>
      <w:r w:rsidRPr="00BC2282">
        <w:rPr>
          <w:rFonts w:hint="eastAsia"/>
          <w:color w:val="auto"/>
        </w:rPr>
        <w:t>OPEC</w:t>
      </w:r>
      <w:r w:rsidRPr="00BC2282">
        <w:rPr>
          <w:rFonts w:hint="eastAsia"/>
          <w:color w:val="auto"/>
        </w:rPr>
        <w:t>会议也将召开，沙特能源部长近期也表达了支持继续减产的意愿，这些利好因素都支撑了油价再次反弹上行。另外美国方面，</w:t>
      </w:r>
      <w:r w:rsidRPr="00BC2282">
        <w:rPr>
          <w:rFonts w:hint="eastAsia"/>
          <w:color w:val="auto"/>
        </w:rPr>
        <w:t>5</w:t>
      </w:r>
      <w:r w:rsidRPr="00BC2282">
        <w:rPr>
          <w:rFonts w:hint="eastAsia"/>
          <w:color w:val="auto"/>
        </w:rPr>
        <w:t>月特朗普政府就将作出是否维持伊朗核协议的最终决定，而现在已经换上了两位更偏鹰派的人物，表明美国政府今后在处理中东问题时，或将采取更加激进的立场，这也将进一步加剧中东地区地缘风险。而对于美国原油产量方面，短期在利多因素提振下显得有所弱化；但中长期来看，美国页岩油产量的不断攀升必将威胁到</w:t>
      </w:r>
      <w:r w:rsidRPr="00BC2282">
        <w:rPr>
          <w:rFonts w:hint="eastAsia"/>
          <w:color w:val="auto"/>
        </w:rPr>
        <w:t>OPEC</w:t>
      </w:r>
      <w:r w:rsidRPr="00BC2282">
        <w:rPr>
          <w:rFonts w:hint="eastAsia"/>
          <w:color w:val="auto"/>
        </w:rPr>
        <w:t>的减产行动，还不宜过分乐观。</w:t>
      </w:r>
    </w:p>
    <w:p w:rsidR="00A45F73" w:rsidRPr="002B7058" w:rsidRDefault="00A45F73" w:rsidP="00E03F09">
      <w:pPr>
        <w:ind w:left="420" w:firstLineChars="0" w:firstLine="0"/>
        <w:rPr>
          <w:color w:val="auto"/>
        </w:rPr>
      </w:pPr>
    </w:p>
    <w:p w:rsidR="0099589A" w:rsidRPr="00A45F73" w:rsidRDefault="0099589A" w:rsidP="00BC2282">
      <w:pPr>
        <w:ind w:firstLineChars="0" w:firstLine="0"/>
        <w:sectPr w:rsidR="0099589A" w:rsidRPr="00A45F73">
          <w:headerReference w:type="even" r:id="rId9"/>
          <w:headerReference w:type="default" r:id="rId10"/>
          <w:footerReference w:type="even" r:id="rId11"/>
          <w:footerReference w:type="default" r:id="rId12"/>
          <w:headerReference w:type="first" r:id="rId13"/>
          <w:footerReference w:type="first" r:id="rId14"/>
          <w:type w:val="continuous"/>
          <w:pgSz w:w="11907" w:h="16160"/>
          <w:pgMar w:top="1616" w:right="1418" w:bottom="1616" w:left="4820" w:header="851" w:footer="992" w:gutter="0"/>
          <w:cols w:space="720"/>
          <w:docGrid w:type="lines" w:linePitch="326" w:charSpace="130252"/>
        </w:sectPr>
      </w:pPr>
    </w:p>
    <w:p w:rsidR="000054D7" w:rsidRDefault="00D17B3E" w:rsidP="00267475">
      <w:pPr>
        <w:pStyle w:val="1"/>
        <w:numPr>
          <w:ilvl w:val="0"/>
          <w:numId w:val="2"/>
        </w:numPr>
        <w:spacing w:beforeLines="0"/>
        <w:ind w:left="1077" w:firstLineChars="0" w:hanging="357"/>
      </w:pPr>
      <w:r>
        <w:rPr>
          <w:rFonts w:hint="eastAsia"/>
        </w:rPr>
        <w:lastRenderedPageBreak/>
        <w:t>基本面情况</w:t>
      </w:r>
    </w:p>
    <w:p w:rsidR="0046025F" w:rsidRPr="00BD2980" w:rsidRDefault="0046025F" w:rsidP="0046025F">
      <w:pPr>
        <w:pStyle w:val="2"/>
        <w:spacing w:beforeLines="0"/>
        <w:ind w:left="786" w:firstLineChars="0" w:firstLine="0"/>
      </w:pPr>
      <w:r>
        <w:rPr>
          <w:rFonts w:hint="eastAsia"/>
        </w:rPr>
        <w:t>1.1</w:t>
      </w:r>
      <w:r w:rsidR="00C12AE6">
        <w:rPr>
          <w:rFonts w:hint="eastAsia"/>
        </w:rPr>
        <w:t>行情回顾</w:t>
      </w:r>
    </w:p>
    <w:tbl>
      <w:tblPr>
        <w:tblW w:w="0" w:type="auto"/>
        <w:tblLook w:val="04A0"/>
      </w:tblPr>
      <w:tblGrid>
        <w:gridCol w:w="9287"/>
      </w:tblGrid>
      <w:tr w:rsidR="000A36D0" w:rsidRPr="00245761" w:rsidTr="0096141A">
        <w:tc>
          <w:tcPr>
            <w:tcW w:w="9287" w:type="dxa"/>
          </w:tcPr>
          <w:p w:rsidR="000A36D0" w:rsidRPr="00C12AE6" w:rsidRDefault="000A36D0" w:rsidP="00C12AE6">
            <w:pPr>
              <w:ind w:firstLineChars="0" w:firstLine="0"/>
              <w:jc w:val="center"/>
              <w:rPr>
                <w:b/>
                <w:color w:val="auto"/>
              </w:rPr>
            </w:pPr>
            <w:r w:rsidRPr="00C12AE6">
              <w:rPr>
                <w:rFonts w:ascii="宋体" w:eastAsia="宋体" w:hAnsi="宋体" w:cs="宋体" w:hint="eastAsia"/>
                <w:b/>
                <w:color w:val="auto"/>
              </w:rPr>
              <w:t>图</w:t>
            </w:r>
            <w:r w:rsidRPr="00C12AE6">
              <w:rPr>
                <w:rFonts w:ascii="宋体" w:eastAsia="宋体" w:hAnsi="宋体" w:cs="宋体"/>
                <w:b/>
                <w:color w:val="auto"/>
              </w:rPr>
              <w:t>1</w:t>
            </w:r>
            <w:r w:rsidR="00A45F73" w:rsidRPr="00C12AE6">
              <w:rPr>
                <w:rFonts w:ascii="宋体" w:eastAsia="宋体" w:hAnsi="宋体" w:cs="宋体" w:hint="eastAsia"/>
                <w:b/>
                <w:color w:val="auto"/>
              </w:rPr>
              <w:t>：</w:t>
            </w:r>
            <w:r w:rsidR="00C12AE6" w:rsidRPr="00C12AE6">
              <w:rPr>
                <w:rFonts w:ascii="宋体" w:eastAsia="宋体" w:hAnsi="宋体" w:cs="宋体" w:hint="eastAsia"/>
                <w:b/>
                <w:color w:val="auto"/>
              </w:rPr>
              <w:t>布伦特原油期货日线图</w:t>
            </w:r>
          </w:p>
        </w:tc>
      </w:tr>
      <w:tr w:rsidR="000A36D0" w:rsidRPr="00245761" w:rsidTr="0096141A">
        <w:tc>
          <w:tcPr>
            <w:tcW w:w="9287" w:type="dxa"/>
          </w:tcPr>
          <w:p w:rsidR="000A36D0" w:rsidRPr="00245761" w:rsidRDefault="00AA11F9" w:rsidP="0096141A">
            <w:pPr>
              <w:ind w:firstLineChars="0" w:firstLine="0"/>
              <w:jc w:val="center"/>
            </w:pPr>
            <w:r>
              <w:rPr>
                <w:noProof/>
              </w:rPr>
              <w:drawing>
                <wp:inline distT="0" distB="0" distL="0" distR="0">
                  <wp:extent cx="5753100" cy="28670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53100" cy="2867025"/>
                          </a:xfrm>
                          <a:prstGeom prst="rect">
                            <a:avLst/>
                          </a:prstGeom>
                          <a:noFill/>
                          <a:ln w="9525">
                            <a:noFill/>
                            <a:miter lim="800000"/>
                            <a:headEnd/>
                            <a:tailEnd/>
                          </a:ln>
                        </pic:spPr>
                      </pic:pic>
                    </a:graphicData>
                  </a:graphic>
                </wp:inline>
              </w:drawing>
            </w:r>
          </w:p>
        </w:tc>
      </w:tr>
      <w:tr w:rsidR="000A36D0" w:rsidRPr="00245761" w:rsidTr="0096141A">
        <w:tc>
          <w:tcPr>
            <w:tcW w:w="9287" w:type="dxa"/>
          </w:tcPr>
          <w:p w:rsidR="000A36D0" w:rsidRPr="002B7058" w:rsidRDefault="000A36D0" w:rsidP="0096141A">
            <w:pPr>
              <w:ind w:firstLineChars="0" w:firstLine="0"/>
              <w:jc w:val="center"/>
              <w:rPr>
                <w:rFonts w:ascii="华文细黑" w:hAnsi="华文细黑"/>
                <w:color w:val="auto"/>
              </w:rPr>
            </w:pPr>
            <w:r w:rsidRPr="002B7058">
              <w:rPr>
                <w:rFonts w:ascii="华文细黑" w:hAnsi="华文细黑" w:hint="eastAsia"/>
                <w:color w:val="auto"/>
                <w:sz w:val="21"/>
                <w:szCs w:val="21"/>
              </w:rPr>
              <w:t>数据来源：</w:t>
            </w:r>
            <w:r w:rsidR="00A45F73" w:rsidRPr="002B7058">
              <w:rPr>
                <w:rFonts w:ascii="华文细黑" w:hAnsi="华文细黑" w:hint="eastAsia"/>
                <w:color w:val="auto"/>
                <w:sz w:val="21"/>
                <w:szCs w:val="21"/>
              </w:rPr>
              <w:t>Wind</w:t>
            </w:r>
            <w:r w:rsidR="00A45F73" w:rsidRPr="002B7058">
              <w:rPr>
                <w:rFonts w:ascii="华文细黑" w:hAnsi="华文细黑"/>
                <w:color w:val="auto"/>
                <w:sz w:val="21"/>
                <w:szCs w:val="21"/>
              </w:rPr>
              <w:t>，</w:t>
            </w:r>
            <w:r w:rsidRPr="002B7058">
              <w:rPr>
                <w:rFonts w:ascii="华文细黑" w:hAnsi="华文细黑" w:hint="eastAsia"/>
                <w:color w:val="auto"/>
                <w:sz w:val="21"/>
                <w:szCs w:val="21"/>
              </w:rPr>
              <w:t>兴证期货研发部</w:t>
            </w:r>
            <w:r w:rsidR="00A45F73" w:rsidRPr="002B7058">
              <w:rPr>
                <w:rFonts w:ascii="华文细黑" w:hAnsi="华文细黑" w:hint="eastAsia"/>
                <w:color w:val="auto"/>
              </w:rPr>
              <w:t xml:space="preserve"> </w:t>
            </w:r>
          </w:p>
        </w:tc>
      </w:tr>
    </w:tbl>
    <w:p w:rsidR="009E5AEB" w:rsidRDefault="009E5AEB" w:rsidP="009E5AEB">
      <w:pPr>
        <w:pStyle w:val="2"/>
        <w:spacing w:beforeLines="0"/>
        <w:ind w:left="786" w:firstLineChars="0" w:firstLine="0"/>
      </w:pPr>
      <w:r>
        <w:rPr>
          <w:rFonts w:hint="eastAsia"/>
        </w:rPr>
        <w:t>1.</w:t>
      </w:r>
      <w:r w:rsidR="00967B9F">
        <w:rPr>
          <w:rFonts w:hint="eastAsia"/>
        </w:rPr>
        <w:t>2</w:t>
      </w:r>
      <w:r w:rsidR="00967B9F">
        <w:rPr>
          <w:rFonts w:hint="eastAsia"/>
        </w:rPr>
        <w:t>信息速递</w:t>
      </w:r>
    </w:p>
    <w:p w:rsidR="00967B9F" w:rsidRPr="004C1D92" w:rsidRDefault="006873F2" w:rsidP="00AA11F9">
      <w:pPr>
        <w:ind w:firstLine="440"/>
        <w:rPr>
          <w:color w:val="auto"/>
        </w:rPr>
      </w:pPr>
      <w:r w:rsidRPr="004C1D92">
        <w:rPr>
          <w:rFonts w:hint="eastAsia"/>
          <w:color w:val="auto"/>
        </w:rPr>
        <w:t>首先，</w:t>
      </w:r>
      <w:r w:rsidRPr="004C1D92">
        <w:rPr>
          <w:rFonts w:hint="eastAsia"/>
          <w:color w:val="auto"/>
        </w:rPr>
        <w:t>3</w:t>
      </w:r>
      <w:r w:rsidRPr="004C1D92">
        <w:rPr>
          <w:rFonts w:hint="eastAsia"/>
          <w:color w:val="auto"/>
        </w:rPr>
        <w:t>月份三大国际能源机构依然按时公布了月度短期能源展望报告。</w:t>
      </w:r>
      <w:r w:rsidR="00141E1A" w:rsidRPr="004C1D92">
        <w:rPr>
          <w:rFonts w:hint="eastAsia"/>
          <w:color w:val="auto"/>
        </w:rPr>
        <w:t>首先是</w:t>
      </w:r>
      <w:r w:rsidR="00141E1A" w:rsidRPr="004C1D92">
        <w:rPr>
          <w:rFonts w:hint="eastAsia"/>
          <w:color w:val="auto"/>
        </w:rPr>
        <w:t>EIA</w:t>
      </w:r>
      <w:r w:rsidR="00141E1A" w:rsidRPr="004C1D92">
        <w:rPr>
          <w:rFonts w:hint="eastAsia"/>
          <w:color w:val="auto"/>
        </w:rPr>
        <w:t>，其</w:t>
      </w:r>
      <w:r w:rsidR="00967B9F" w:rsidRPr="004C1D92">
        <w:rPr>
          <w:rFonts w:hint="eastAsia"/>
          <w:color w:val="auto"/>
        </w:rPr>
        <w:t>预计</w:t>
      </w:r>
      <w:r w:rsidRPr="004C1D92">
        <w:rPr>
          <w:rFonts w:hint="eastAsia"/>
          <w:color w:val="auto"/>
        </w:rPr>
        <w:t>今年</w:t>
      </w:r>
      <w:r w:rsidR="00967B9F" w:rsidRPr="004C1D92">
        <w:rPr>
          <w:rFonts w:hint="eastAsia"/>
          <w:color w:val="auto"/>
        </w:rPr>
        <w:t>美国原油</w:t>
      </w:r>
      <w:r w:rsidR="00141E1A" w:rsidRPr="004C1D92">
        <w:rPr>
          <w:rFonts w:hint="eastAsia"/>
          <w:color w:val="auto"/>
        </w:rPr>
        <w:t>平均</w:t>
      </w:r>
      <w:r w:rsidR="00967B9F" w:rsidRPr="004C1D92">
        <w:rPr>
          <w:rFonts w:hint="eastAsia"/>
          <w:color w:val="auto"/>
        </w:rPr>
        <w:t>产量将增加</w:t>
      </w:r>
      <w:r w:rsidR="00967B9F" w:rsidRPr="004C1D92">
        <w:rPr>
          <w:rFonts w:hint="eastAsia"/>
          <w:color w:val="auto"/>
        </w:rPr>
        <w:t>138</w:t>
      </w:r>
      <w:r w:rsidR="00967B9F" w:rsidRPr="004C1D92">
        <w:rPr>
          <w:rFonts w:hint="eastAsia"/>
          <w:color w:val="auto"/>
        </w:rPr>
        <w:t>万桶</w:t>
      </w:r>
      <w:r w:rsidR="00967B9F" w:rsidRPr="004C1D92">
        <w:rPr>
          <w:rFonts w:hint="eastAsia"/>
          <w:color w:val="auto"/>
        </w:rPr>
        <w:t>/</w:t>
      </w:r>
      <w:r w:rsidR="00967B9F" w:rsidRPr="004C1D92">
        <w:rPr>
          <w:rFonts w:hint="eastAsia"/>
          <w:color w:val="auto"/>
        </w:rPr>
        <w:t>日至</w:t>
      </w:r>
      <w:r w:rsidR="00967B9F" w:rsidRPr="004C1D92">
        <w:rPr>
          <w:rFonts w:hint="eastAsia"/>
          <w:color w:val="auto"/>
        </w:rPr>
        <w:t>1070</w:t>
      </w:r>
      <w:r w:rsidR="00967B9F" w:rsidRPr="004C1D92">
        <w:rPr>
          <w:rFonts w:hint="eastAsia"/>
          <w:color w:val="auto"/>
        </w:rPr>
        <w:t>万桶</w:t>
      </w:r>
      <w:r w:rsidR="00967B9F" w:rsidRPr="004C1D92">
        <w:rPr>
          <w:rFonts w:hint="eastAsia"/>
          <w:color w:val="auto"/>
        </w:rPr>
        <w:t>/</w:t>
      </w:r>
      <w:r w:rsidR="00967B9F" w:rsidRPr="004C1D92">
        <w:rPr>
          <w:rFonts w:hint="eastAsia"/>
          <w:color w:val="auto"/>
        </w:rPr>
        <w:t>日，</w:t>
      </w:r>
      <w:r w:rsidR="00141E1A" w:rsidRPr="004C1D92">
        <w:rPr>
          <w:rFonts w:hint="eastAsia"/>
          <w:color w:val="auto"/>
        </w:rPr>
        <w:t>这将打破</w:t>
      </w:r>
      <w:r w:rsidR="00141E1A" w:rsidRPr="004C1D92">
        <w:rPr>
          <w:color w:val="auto"/>
        </w:rPr>
        <w:t>1970</w:t>
      </w:r>
      <w:r w:rsidR="00141E1A" w:rsidRPr="004C1D92">
        <w:rPr>
          <w:rFonts w:hint="eastAsia"/>
          <w:color w:val="auto"/>
        </w:rPr>
        <w:t>年创下的全年平均日产量</w:t>
      </w:r>
      <w:r w:rsidR="00141E1A" w:rsidRPr="004C1D92">
        <w:rPr>
          <w:color w:val="auto"/>
        </w:rPr>
        <w:t>960</w:t>
      </w:r>
      <w:r w:rsidR="00141E1A" w:rsidRPr="004C1D92">
        <w:rPr>
          <w:rFonts w:hint="eastAsia"/>
          <w:color w:val="auto"/>
        </w:rPr>
        <w:t>万桶的纪录</w:t>
      </w:r>
      <w:r w:rsidR="00967B9F" w:rsidRPr="004C1D92">
        <w:rPr>
          <w:rFonts w:hint="eastAsia"/>
          <w:color w:val="auto"/>
        </w:rPr>
        <w:t>。预计</w:t>
      </w:r>
      <w:r w:rsidRPr="004C1D92">
        <w:rPr>
          <w:rFonts w:hint="eastAsia"/>
          <w:color w:val="auto"/>
        </w:rPr>
        <w:t>明</w:t>
      </w:r>
      <w:r w:rsidR="00967B9F" w:rsidRPr="004C1D92">
        <w:rPr>
          <w:rFonts w:hint="eastAsia"/>
          <w:color w:val="auto"/>
        </w:rPr>
        <w:t>年美国原油产量将增加</w:t>
      </w:r>
      <w:r w:rsidR="00967B9F" w:rsidRPr="004C1D92">
        <w:rPr>
          <w:rFonts w:hint="eastAsia"/>
          <w:color w:val="auto"/>
        </w:rPr>
        <w:t>57</w:t>
      </w:r>
      <w:r w:rsidR="00967B9F" w:rsidRPr="004C1D92">
        <w:rPr>
          <w:rFonts w:hint="eastAsia"/>
          <w:color w:val="auto"/>
        </w:rPr>
        <w:t>万桶</w:t>
      </w:r>
      <w:r w:rsidR="00967B9F" w:rsidRPr="004C1D92">
        <w:rPr>
          <w:rFonts w:hint="eastAsia"/>
          <w:color w:val="auto"/>
        </w:rPr>
        <w:t>/</w:t>
      </w:r>
      <w:r w:rsidR="00967B9F" w:rsidRPr="004C1D92">
        <w:rPr>
          <w:rFonts w:hint="eastAsia"/>
          <w:color w:val="auto"/>
        </w:rPr>
        <w:t>日至</w:t>
      </w:r>
      <w:r w:rsidR="00967B9F" w:rsidRPr="004C1D92">
        <w:rPr>
          <w:rFonts w:hint="eastAsia"/>
          <w:color w:val="auto"/>
        </w:rPr>
        <w:t>1127</w:t>
      </w:r>
      <w:r w:rsidR="00967B9F" w:rsidRPr="004C1D92">
        <w:rPr>
          <w:rFonts w:hint="eastAsia"/>
          <w:color w:val="auto"/>
        </w:rPr>
        <w:t>万桶</w:t>
      </w:r>
      <w:r w:rsidR="00967B9F" w:rsidRPr="004C1D92">
        <w:rPr>
          <w:rFonts w:hint="eastAsia"/>
          <w:color w:val="auto"/>
        </w:rPr>
        <w:t>/</w:t>
      </w:r>
      <w:r w:rsidRPr="004C1D92">
        <w:rPr>
          <w:rFonts w:hint="eastAsia"/>
          <w:color w:val="auto"/>
        </w:rPr>
        <w:t>日</w:t>
      </w:r>
      <w:r w:rsidR="00967B9F" w:rsidRPr="004C1D92">
        <w:rPr>
          <w:rFonts w:hint="eastAsia"/>
          <w:color w:val="auto"/>
        </w:rPr>
        <w:t>。将</w:t>
      </w:r>
      <w:r w:rsidRPr="004C1D92">
        <w:rPr>
          <w:rFonts w:hint="eastAsia"/>
          <w:color w:val="auto"/>
        </w:rPr>
        <w:t>今年</w:t>
      </w:r>
      <w:r w:rsidR="00967B9F" w:rsidRPr="004C1D92">
        <w:rPr>
          <w:rFonts w:hint="eastAsia"/>
          <w:color w:val="auto"/>
        </w:rPr>
        <w:t>全球原油需求增速预期下调</w:t>
      </w:r>
      <w:r w:rsidR="00967B9F" w:rsidRPr="004C1D92">
        <w:rPr>
          <w:rFonts w:hint="eastAsia"/>
          <w:color w:val="auto"/>
        </w:rPr>
        <w:t>3</w:t>
      </w:r>
      <w:r w:rsidR="00967B9F" w:rsidRPr="004C1D92">
        <w:rPr>
          <w:rFonts w:hint="eastAsia"/>
          <w:color w:val="auto"/>
        </w:rPr>
        <w:t>万桶</w:t>
      </w:r>
      <w:r w:rsidR="00967B9F" w:rsidRPr="004C1D92">
        <w:rPr>
          <w:rFonts w:hint="eastAsia"/>
          <w:color w:val="auto"/>
        </w:rPr>
        <w:t>/</w:t>
      </w:r>
      <w:r w:rsidR="00967B9F" w:rsidRPr="004C1D92">
        <w:rPr>
          <w:rFonts w:hint="eastAsia"/>
          <w:color w:val="auto"/>
        </w:rPr>
        <w:t>日至</w:t>
      </w:r>
      <w:r w:rsidR="00967B9F" w:rsidRPr="004C1D92">
        <w:rPr>
          <w:rFonts w:hint="eastAsia"/>
          <w:color w:val="auto"/>
        </w:rPr>
        <w:t>170</w:t>
      </w:r>
      <w:r w:rsidR="00967B9F" w:rsidRPr="004C1D92">
        <w:rPr>
          <w:rFonts w:hint="eastAsia"/>
          <w:color w:val="auto"/>
        </w:rPr>
        <w:t>万桶</w:t>
      </w:r>
      <w:r w:rsidR="00967B9F" w:rsidRPr="004C1D92">
        <w:rPr>
          <w:rFonts w:hint="eastAsia"/>
          <w:color w:val="auto"/>
        </w:rPr>
        <w:t>/</w:t>
      </w:r>
      <w:r w:rsidR="00967B9F" w:rsidRPr="004C1D92">
        <w:rPr>
          <w:rFonts w:hint="eastAsia"/>
          <w:color w:val="auto"/>
        </w:rPr>
        <w:t>日，并预计</w:t>
      </w:r>
      <w:r w:rsidRPr="004C1D92">
        <w:rPr>
          <w:rFonts w:hint="eastAsia"/>
          <w:color w:val="auto"/>
        </w:rPr>
        <w:t>明</w:t>
      </w:r>
      <w:r w:rsidR="00967B9F" w:rsidRPr="004C1D92">
        <w:rPr>
          <w:rFonts w:hint="eastAsia"/>
          <w:color w:val="auto"/>
        </w:rPr>
        <w:t>年全球原油需求增速在</w:t>
      </w:r>
      <w:r w:rsidR="00967B9F" w:rsidRPr="004C1D92">
        <w:rPr>
          <w:rFonts w:hint="eastAsia"/>
          <w:color w:val="auto"/>
        </w:rPr>
        <w:t>172</w:t>
      </w:r>
      <w:r w:rsidR="00967B9F" w:rsidRPr="004C1D92">
        <w:rPr>
          <w:rFonts w:hint="eastAsia"/>
          <w:color w:val="auto"/>
        </w:rPr>
        <w:t>万桶</w:t>
      </w:r>
      <w:r w:rsidR="00967B9F" w:rsidRPr="004C1D92">
        <w:rPr>
          <w:rFonts w:hint="eastAsia"/>
          <w:color w:val="auto"/>
        </w:rPr>
        <w:t>/</w:t>
      </w:r>
      <w:r w:rsidR="00967B9F" w:rsidRPr="004C1D92">
        <w:rPr>
          <w:rFonts w:hint="eastAsia"/>
          <w:color w:val="auto"/>
        </w:rPr>
        <w:t>日。</w:t>
      </w:r>
    </w:p>
    <w:p w:rsidR="00141E1A" w:rsidRPr="004C1D92" w:rsidRDefault="00141E1A" w:rsidP="00AA11F9">
      <w:pPr>
        <w:ind w:firstLine="440"/>
        <w:rPr>
          <w:color w:val="auto"/>
        </w:rPr>
      </w:pPr>
      <w:r w:rsidRPr="004C1D92">
        <w:rPr>
          <w:rFonts w:hint="eastAsia"/>
          <w:color w:val="auto"/>
        </w:rPr>
        <w:t>随后</w:t>
      </w:r>
      <w:r w:rsidRPr="004C1D92">
        <w:rPr>
          <w:color w:val="auto"/>
        </w:rPr>
        <w:t>OPEC</w:t>
      </w:r>
      <w:r w:rsidRPr="004C1D92">
        <w:rPr>
          <w:rFonts w:hint="eastAsia"/>
          <w:color w:val="auto"/>
        </w:rPr>
        <w:t>发表的月报显示，其预计今年全球原油需求将增长</w:t>
      </w:r>
      <w:r w:rsidRPr="004C1D92">
        <w:rPr>
          <w:color w:val="auto"/>
        </w:rPr>
        <w:t>160</w:t>
      </w:r>
      <w:r w:rsidRPr="004C1D92">
        <w:rPr>
          <w:rFonts w:hint="eastAsia"/>
          <w:color w:val="auto"/>
        </w:rPr>
        <w:t>万桶</w:t>
      </w:r>
      <w:r w:rsidRPr="004C1D92">
        <w:rPr>
          <w:color w:val="auto"/>
        </w:rPr>
        <w:t>/</w:t>
      </w:r>
      <w:r w:rsidRPr="004C1D92">
        <w:rPr>
          <w:rFonts w:hint="eastAsia"/>
          <w:color w:val="auto"/>
        </w:rPr>
        <w:t>日，预计今年全球对</w:t>
      </w:r>
      <w:r w:rsidRPr="004C1D92">
        <w:rPr>
          <w:color w:val="auto"/>
        </w:rPr>
        <w:t>OPEC</w:t>
      </w:r>
      <w:r w:rsidRPr="004C1D92">
        <w:rPr>
          <w:rFonts w:hint="eastAsia"/>
          <w:color w:val="auto"/>
        </w:rPr>
        <w:t>原油的需求平均为</w:t>
      </w:r>
      <w:r w:rsidRPr="004C1D92">
        <w:rPr>
          <w:color w:val="auto"/>
        </w:rPr>
        <w:t>3261</w:t>
      </w:r>
      <w:r w:rsidRPr="004C1D92">
        <w:rPr>
          <w:rFonts w:hint="eastAsia"/>
          <w:color w:val="auto"/>
        </w:rPr>
        <w:t>万桶</w:t>
      </w:r>
      <w:r w:rsidRPr="004C1D92">
        <w:rPr>
          <w:color w:val="auto"/>
        </w:rPr>
        <w:t>/</w:t>
      </w:r>
      <w:r w:rsidRPr="004C1D92">
        <w:rPr>
          <w:rFonts w:hint="eastAsia"/>
          <w:color w:val="auto"/>
        </w:rPr>
        <w:t>日，此前预期为</w:t>
      </w:r>
      <w:r w:rsidRPr="004C1D92">
        <w:rPr>
          <w:color w:val="auto"/>
        </w:rPr>
        <w:t>3286</w:t>
      </w:r>
      <w:r w:rsidRPr="004C1D92">
        <w:rPr>
          <w:rFonts w:hint="eastAsia"/>
          <w:color w:val="auto"/>
        </w:rPr>
        <w:t>万桶</w:t>
      </w:r>
      <w:r w:rsidRPr="004C1D92">
        <w:rPr>
          <w:color w:val="auto"/>
        </w:rPr>
        <w:t>/</w:t>
      </w:r>
      <w:r w:rsidRPr="004C1D92">
        <w:rPr>
          <w:rFonts w:hint="eastAsia"/>
          <w:color w:val="auto"/>
        </w:rPr>
        <w:t>日</w:t>
      </w:r>
      <w:r w:rsidRPr="004C1D92">
        <w:rPr>
          <w:color w:val="auto"/>
        </w:rPr>
        <w:t>。</w:t>
      </w:r>
      <w:r w:rsidR="00B51EF1" w:rsidRPr="004C1D92">
        <w:rPr>
          <w:rFonts w:hint="eastAsia"/>
          <w:color w:val="auto"/>
        </w:rPr>
        <w:t>预计今年美国页岩油产出</w:t>
      </w:r>
      <w:r w:rsidR="00B51EF1" w:rsidRPr="004C1D92">
        <w:rPr>
          <w:rFonts w:hint="eastAsia"/>
          <w:color w:val="auto"/>
        </w:rPr>
        <w:t>572</w:t>
      </w:r>
      <w:r w:rsidR="00B51EF1" w:rsidRPr="004C1D92">
        <w:rPr>
          <w:rFonts w:hint="eastAsia"/>
          <w:color w:val="auto"/>
        </w:rPr>
        <w:t>万桶</w:t>
      </w:r>
      <w:r w:rsidR="00B51EF1" w:rsidRPr="004C1D92">
        <w:rPr>
          <w:rFonts w:hint="eastAsia"/>
          <w:color w:val="auto"/>
        </w:rPr>
        <w:t>/</w:t>
      </w:r>
      <w:r w:rsidR="00B51EF1" w:rsidRPr="004C1D92">
        <w:rPr>
          <w:rFonts w:hint="eastAsia"/>
          <w:color w:val="auto"/>
        </w:rPr>
        <w:t>日，今年非</w:t>
      </w:r>
      <w:r w:rsidR="00B51EF1" w:rsidRPr="004C1D92">
        <w:rPr>
          <w:rFonts w:hint="eastAsia"/>
          <w:color w:val="auto"/>
        </w:rPr>
        <w:t>OPEC</w:t>
      </w:r>
      <w:r w:rsidR="00B51EF1" w:rsidRPr="004C1D92">
        <w:rPr>
          <w:rFonts w:hint="eastAsia"/>
          <w:color w:val="auto"/>
        </w:rPr>
        <w:t>原油供应增速预期上调至</w:t>
      </w:r>
      <w:r w:rsidR="00B51EF1" w:rsidRPr="004C1D92">
        <w:rPr>
          <w:rFonts w:hint="eastAsia"/>
          <w:color w:val="auto"/>
        </w:rPr>
        <w:t>166</w:t>
      </w:r>
      <w:r w:rsidR="00B51EF1" w:rsidRPr="004C1D92">
        <w:rPr>
          <w:rFonts w:hint="eastAsia"/>
          <w:color w:val="auto"/>
        </w:rPr>
        <w:t>万桶</w:t>
      </w:r>
      <w:r w:rsidR="00B51EF1" w:rsidRPr="004C1D92">
        <w:rPr>
          <w:rFonts w:hint="eastAsia"/>
          <w:color w:val="auto"/>
        </w:rPr>
        <w:t>/</w:t>
      </w:r>
      <w:r w:rsidR="00B51EF1" w:rsidRPr="004C1D92">
        <w:rPr>
          <w:rFonts w:hint="eastAsia"/>
          <w:color w:val="auto"/>
        </w:rPr>
        <w:t>日，前值为</w:t>
      </w:r>
      <w:r w:rsidR="00B51EF1" w:rsidRPr="004C1D92">
        <w:rPr>
          <w:rFonts w:hint="eastAsia"/>
          <w:color w:val="auto"/>
        </w:rPr>
        <w:t>140</w:t>
      </w:r>
      <w:r w:rsidR="00B51EF1" w:rsidRPr="004C1D92">
        <w:rPr>
          <w:rFonts w:hint="eastAsia"/>
          <w:color w:val="auto"/>
        </w:rPr>
        <w:t>万桶</w:t>
      </w:r>
      <w:r w:rsidR="00B51EF1" w:rsidRPr="004C1D92">
        <w:rPr>
          <w:rFonts w:hint="eastAsia"/>
          <w:color w:val="auto"/>
        </w:rPr>
        <w:t>/</w:t>
      </w:r>
      <w:r w:rsidR="00B51EF1" w:rsidRPr="004C1D92">
        <w:rPr>
          <w:rFonts w:hint="eastAsia"/>
          <w:color w:val="auto"/>
        </w:rPr>
        <w:t>日。</w:t>
      </w:r>
      <w:r w:rsidRPr="004C1D92">
        <w:rPr>
          <w:rFonts w:hint="eastAsia"/>
          <w:color w:val="auto"/>
        </w:rPr>
        <w:t>经合组织原油库存增加</w:t>
      </w:r>
      <w:r w:rsidRPr="004C1D92">
        <w:rPr>
          <w:color w:val="auto"/>
        </w:rPr>
        <w:t>1370</w:t>
      </w:r>
      <w:r w:rsidRPr="004C1D92">
        <w:rPr>
          <w:rFonts w:hint="eastAsia"/>
          <w:color w:val="auto"/>
        </w:rPr>
        <w:t>桶至</w:t>
      </w:r>
      <w:r w:rsidRPr="004C1D92">
        <w:rPr>
          <w:color w:val="auto"/>
        </w:rPr>
        <w:t>18.</w:t>
      </w:r>
      <w:r w:rsidRPr="004C1D92">
        <w:rPr>
          <w:rFonts w:hint="eastAsia"/>
          <w:color w:val="auto"/>
        </w:rPr>
        <w:t>7</w:t>
      </w:r>
      <w:r w:rsidRPr="004C1D92">
        <w:rPr>
          <w:rFonts w:hint="eastAsia"/>
          <w:color w:val="auto"/>
        </w:rPr>
        <w:t>亿桶，高出五年均值</w:t>
      </w:r>
      <w:r w:rsidRPr="004C1D92">
        <w:rPr>
          <w:color w:val="auto"/>
        </w:rPr>
        <w:t>5000</w:t>
      </w:r>
      <w:r w:rsidRPr="004C1D92">
        <w:rPr>
          <w:rFonts w:hint="eastAsia"/>
          <w:color w:val="auto"/>
        </w:rPr>
        <w:t>万桶。</w:t>
      </w:r>
    </w:p>
    <w:p w:rsidR="00141E1A" w:rsidRPr="004C1D92" w:rsidRDefault="00B51EF1" w:rsidP="00AA11F9">
      <w:pPr>
        <w:ind w:firstLine="440"/>
        <w:rPr>
          <w:color w:val="auto"/>
        </w:rPr>
      </w:pPr>
      <w:r w:rsidRPr="004C1D92">
        <w:rPr>
          <w:rFonts w:hint="eastAsia"/>
          <w:color w:val="auto"/>
        </w:rPr>
        <w:t>最后根据</w:t>
      </w:r>
      <w:r w:rsidR="00141E1A" w:rsidRPr="004C1D92">
        <w:rPr>
          <w:color w:val="auto"/>
        </w:rPr>
        <w:t>IEA</w:t>
      </w:r>
      <w:r w:rsidR="00141E1A" w:rsidRPr="004C1D92">
        <w:rPr>
          <w:rFonts w:hint="eastAsia"/>
          <w:color w:val="auto"/>
        </w:rPr>
        <w:t>发布</w:t>
      </w:r>
      <w:r w:rsidRPr="004C1D92">
        <w:rPr>
          <w:rFonts w:hint="eastAsia"/>
          <w:color w:val="auto"/>
        </w:rPr>
        <w:t>的月</w:t>
      </w:r>
      <w:r w:rsidR="00141E1A" w:rsidRPr="004C1D92">
        <w:rPr>
          <w:rFonts w:hint="eastAsia"/>
          <w:color w:val="auto"/>
        </w:rPr>
        <w:t>报</w:t>
      </w:r>
      <w:r w:rsidRPr="004C1D92">
        <w:rPr>
          <w:rFonts w:hint="eastAsia"/>
          <w:color w:val="auto"/>
        </w:rPr>
        <w:t>显示</w:t>
      </w:r>
      <w:r w:rsidR="00141E1A" w:rsidRPr="004C1D92">
        <w:rPr>
          <w:rFonts w:hint="eastAsia"/>
          <w:color w:val="auto"/>
        </w:rPr>
        <w:t>，其预计今年全球石油需求会加快增长，但供给仍以更快的速度攀升</w:t>
      </w:r>
      <w:r w:rsidR="005D316F" w:rsidRPr="004C1D92">
        <w:rPr>
          <w:rFonts w:hint="eastAsia"/>
          <w:color w:val="auto"/>
        </w:rPr>
        <w:t>。今年全球原油需求增速预期为</w:t>
      </w:r>
      <w:r w:rsidR="005D316F" w:rsidRPr="004C1D92">
        <w:rPr>
          <w:color w:val="auto"/>
        </w:rPr>
        <w:t>150</w:t>
      </w:r>
      <w:r w:rsidR="005D316F" w:rsidRPr="004C1D92">
        <w:rPr>
          <w:rFonts w:hint="eastAsia"/>
          <w:color w:val="auto"/>
        </w:rPr>
        <w:t>万桶</w:t>
      </w:r>
      <w:r w:rsidR="005D316F" w:rsidRPr="004C1D92">
        <w:rPr>
          <w:color w:val="auto"/>
        </w:rPr>
        <w:t>/</w:t>
      </w:r>
      <w:r w:rsidR="005D316F" w:rsidRPr="004C1D92">
        <w:rPr>
          <w:rFonts w:hint="eastAsia"/>
          <w:color w:val="auto"/>
        </w:rPr>
        <w:t>日，此前为</w:t>
      </w:r>
      <w:r w:rsidR="005D316F" w:rsidRPr="004C1D92">
        <w:rPr>
          <w:color w:val="auto"/>
        </w:rPr>
        <w:t>140</w:t>
      </w:r>
      <w:r w:rsidR="005D316F" w:rsidRPr="004C1D92">
        <w:rPr>
          <w:rFonts w:hint="eastAsia"/>
          <w:color w:val="auto"/>
        </w:rPr>
        <w:t>万桶</w:t>
      </w:r>
      <w:r w:rsidR="005D316F" w:rsidRPr="004C1D92">
        <w:rPr>
          <w:color w:val="auto"/>
        </w:rPr>
        <w:t>/</w:t>
      </w:r>
      <w:r w:rsidR="005D316F" w:rsidRPr="004C1D92">
        <w:rPr>
          <w:rFonts w:hint="eastAsia"/>
          <w:color w:val="auto"/>
        </w:rPr>
        <w:t>日。对</w:t>
      </w:r>
      <w:r w:rsidR="005D316F" w:rsidRPr="004C1D92">
        <w:rPr>
          <w:color w:val="auto"/>
        </w:rPr>
        <w:t>OPEC</w:t>
      </w:r>
      <w:r w:rsidR="005D316F" w:rsidRPr="004C1D92">
        <w:rPr>
          <w:rFonts w:hint="eastAsia"/>
          <w:color w:val="auto"/>
        </w:rPr>
        <w:t>原油需求增至</w:t>
      </w:r>
      <w:r w:rsidR="005D316F" w:rsidRPr="004C1D92">
        <w:rPr>
          <w:color w:val="auto"/>
        </w:rPr>
        <w:t>3240</w:t>
      </w:r>
      <w:r w:rsidR="005D316F" w:rsidRPr="004C1D92">
        <w:rPr>
          <w:rFonts w:hint="eastAsia"/>
          <w:color w:val="auto"/>
        </w:rPr>
        <w:t>万桶</w:t>
      </w:r>
      <w:r w:rsidR="005D316F" w:rsidRPr="004C1D92">
        <w:rPr>
          <w:color w:val="auto"/>
        </w:rPr>
        <w:t>/</w:t>
      </w:r>
      <w:r w:rsidR="005D316F" w:rsidRPr="004C1D92">
        <w:rPr>
          <w:rFonts w:hint="eastAsia"/>
          <w:color w:val="auto"/>
        </w:rPr>
        <w:t>日，此前为</w:t>
      </w:r>
      <w:r w:rsidR="005D316F" w:rsidRPr="004C1D92">
        <w:rPr>
          <w:color w:val="auto"/>
        </w:rPr>
        <w:t>3230</w:t>
      </w:r>
      <w:r w:rsidR="005D316F" w:rsidRPr="004C1D92">
        <w:rPr>
          <w:rFonts w:hint="eastAsia"/>
          <w:color w:val="auto"/>
        </w:rPr>
        <w:t>万桶</w:t>
      </w:r>
      <w:r w:rsidR="005D316F" w:rsidRPr="004C1D92">
        <w:rPr>
          <w:color w:val="auto"/>
        </w:rPr>
        <w:t>/</w:t>
      </w:r>
      <w:r w:rsidR="005D316F" w:rsidRPr="004C1D92">
        <w:rPr>
          <w:rFonts w:hint="eastAsia"/>
          <w:color w:val="auto"/>
        </w:rPr>
        <w:t>日。今年全球石油需求为</w:t>
      </w:r>
      <w:r w:rsidR="005D316F" w:rsidRPr="004C1D92">
        <w:rPr>
          <w:color w:val="auto"/>
        </w:rPr>
        <w:t>9930</w:t>
      </w:r>
      <w:r w:rsidR="005D316F" w:rsidRPr="004C1D92">
        <w:rPr>
          <w:rFonts w:hint="eastAsia"/>
          <w:color w:val="auto"/>
        </w:rPr>
        <w:t>万桶</w:t>
      </w:r>
      <w:r w:rsidR="005D316F" w:rsidRPr="004C1D92">
        <w:rPr>
          <w:color w:val="auto"/>
        </w:rPr>
        <w:t>/</w:t>
      </w:r>
      <w:r w:rsidR="005D316F" w:rsidRPr="004C1D92">
        <w:rPr>
          <w:rFonts w:hint="eastAsia"/>
          <w:color w:val="auto"/>
        </w:rPr>
        <w:t>日，去年为</w:t>
      </w:r>
      <w:r w:rsidR="005D316F" w:rsidRPr="004C1D92">
        <w:rPr>
          <w:color w:val="auto"/>
        </w:rPr>
        <w:t>9780</w:t>
      </w:r>
      <w:r w:rsidR="005D316F" w:rsidRPr="004C1D92">
        <w:rPr>
          <w:rFonts w:hint="eastAsia"/>
          <w:color w:val="auto"/>
        </w:rPr>
        <w:t>万桶</w:t>
      </w:r>
      <w:r w:rsidR="005D316F" w:rsidRPr="004C1D92">
        <w:rPr>
          <w:color w:val="auto"/>
        </w:rPr>
        <w:t>/</w:t>
      </w:r>
      <w:r w:rsidR="005D316F" w:rsidRPr="004C1D92">
        <w:rPr>
          <w:rFonts w:hint="eastAsia"/>
          <w:color w:val="auto"/>
        </w:rPr>
        <w:t>日</w:t>
      </w:r>
      <w:r w:rsidR="005D316F" w:rsidRPr="004C1D92">
        <w:rPr>
          <w:color w:val="auto"/>
        </w:rPr>
        <w:t>。</w:t>
      </w:r>
      <w:r w:rsidR="005D316F" w:rsidRPr="004C1D92">
        <w:rPr>
          <w:rFonts w:hint="eastAsia"/>
          <w:color w:val="auto"/>
        </w:rPr>
        <w:t>预计今年非</w:t>
      </w:r>
      <w:r w:rsidR="005D316F" w:rsidRPr="004C1D92">
        <w:rPr>
          <w:color w:val="auto"/>
        </w:rPr>
        <w:t>OPEC</w:t>
      </w:r>
      <w:r w:rsidR="005D316F" w:rsidRPr="004C1D92">
        <w:rPr>
          <w:rFonts w:hint="eastAsia"/>
          <w:color w:val="auto"/>
        </w:rPr>
        <w:t>国家供应增长</w:t>
      </w:r>
      <w:r w:rsidR="005D316F" w:rsidRPr="004C1D92">
        <w:rPr>
          <w:color w:val="auto"/>
        </w:rPr>
        <w:t>180</w:t>
      </w:r>
      <w:r w:rsidR="005D316F" w:rsidRPr="004C1D92">
        <w:rPr>
          <w:rFonts w:hint="eastAsia"/>
          <w:color w:val="auto"/>
        </w:rPr>
        <w:t>万桶</w:t>
      </w:r>
      <w:r w:rsidR="005D316F" w:rsidRPr="004C1D92">
        <w:rPr>
          <w:color w:val="auto"/>
        </w:rPr>
        <w:t>/</w:t>
      </w:r>
      <w:r w:rsidR="005D316F" w:rsidRPr="004C1D92">
        <w:rPr>
          <w:rFonts w:hint="eastAsia"/>
          <w:color w:val="auto"/>
        </w:rPr>
        <w:t>日，至</w:t>
      </w:r>
      <w:r w:rsidR="005D316F" w:rsidRPr="004C1D92">
        <w:rPr>
          <w:color w:val="auto"/>
        </w:rPr>
        <w:t>5990</w:t>
      </w:r>
      <w:r w:rsidR="005D316F" w:rsidRPr="004C1D92">
        <w:rPr>
          <w:rFonts w:hint="eastAsia"/>
          <w:color w:val="auto"/>
        </w:rPr>
        <w:t>万桶</w:t>
      </w:r>
      <w:r w:rsidR="005D316F" w:rsidRPr="004C1D92">
        <w:rPr>
          <w:color w:val="auto"/>
        </w:rPr>
        <w:t>/</w:t>
      </w:r>
      <w:r w:rsidR="005D316F" w:rsidRPr="004C1D92">
        <w:rPr>
          <w:rFonts w:hint="eastAsia"/>
          <w:color w:val="auto"/>
        </w:rPr>
        <w:t>日。美国供应增幅居前，今年供应预计增加</w:t>
      </w:r>
      <w:r w:rsidR="005D316F" w:rsidRPr="004C1D92">
        <w:rPr>
          <w:color w:val="auto"/>
        </w:rPr>
        <w:t>130</w:t>
      </w:r>
      <w:r w:rsidR="005D316F" w:rsidRPr="004C1D92">
        <w:rPr>
          <w:rFonts w:hint="eastAsia"/>
          <w:color w:val="auto"/>
        </w:rPr>
        <w:t>万桶</w:t>
      </w:r>
      <w:r w:rsidR="005D316F" w:rsidRPr="004C1D92">
        <w:rPr>
          <w:color w:val="auto"/>
        </w:rPr>
        <w:t>/</w:t>
      </w:r>
      <w:r w:rsidR="005D316F" w:rsidRPr="004C1D92">
        <w:rPr>
          <w:rFonts w:hint="eastAsia"/>
          <w:color w:val="auto"/>
        </w:rPr>
        <w:t>日，年底前将增至逾</w:t>
      </w:r>
      <w:r w:rsidR="005D316F" w:rsidRPr="004C1D92">
        <w:rPr>
          <w:color w:val="auto"/>
        </w:rPr>
        <w:t>1100</w:t>
      </w:r>
      <w:r w:rsidR="005D316F" w:rsidRPr="004C1D92">
        <w:rPr>
          <w:rFonts w:hint="eastAsia"/>
          <w:color w:val="auto"/>
        </w:rPr>
        <w:t>万桶</w:t>
      </w:r>
      <w:r w:rsidR="005D316F" w:rsidRPr="004C1D92">
        <w:rPr>
          <w:color w:val="auto"/>
        </w:rPr>
        <w:t>/</w:t>
      </w:r>
      <w:r w:rsidR="005D316F" w:rsidRPr="004C1D92">
        <w:rPr>
          <w:rFonts w:hint="eastAsia"/>
          <w:color w:val="auto"/>
        </w:rPr>
        <w:t>日，在美国的带领下，今年非</w:t>
      </w:r>
      <w:r w:rsidR="005D316F" w:rsidRPr="004C1D92">
        <w:rPr>
          <w:color w:val="auto"/>
        </w:rPr>
        <w:t>OPEC</w:t>
      </w:r>
      <w:r w:rsidR="005D316F" w:rsidRPr="004C1D92">
        <w:rPr>
          <w:rFonts w:hint="eastAsia"/>
          <w:color w:val="auto"/>
        </w:rPr>
        <w:t>产油国供应量将增加</w:t>
      </w:r>
      <w:r w:rsidR="005D316F" w:rsidRPr="004C1D92">
        <w:rPr>
          <w:color w:val="auto"/>
        </w:rPr>
        <w:t>180</w:t>
      </w:r>
      <w:r w:rsidR="005D316F" w:rsidRPr="004C1D92">
        <w:rPr>
          <w:rFonts w:hint="eastAsia"/>
          <w:color w:val="auto"/>
        </w:rPr>
        <w:t>万桶</w:t>
      </w:r>
      <w:r w:rsidR="005D316F" w:rsidRPr="004C1D92">
        <w:rPr>
          <w:color w:val="auto"/>
        </w:rPr>
        <w:t>/</w:t>
      </w:r>
      <w:r w:rsidR="005D316F" w:rsidRPr="004C1D92">
        <w:rPr>
          <w:rFonts w:hint="eastAsia"/>
          <w:color w:val="auto"/>
        </w:rPr>
        <w:t>日至</w:t>
      </w:r>
      <w:r w:rsidR="005D316F" w:rsidRPr="004C1D92">
        <w:rPr>
          <w:color w:val="auto"/>
        </w:rPr>
        <w:t>9790</w:t>
      </w:r>
      <w:r w:rsidR="005D316F" w:rsidRPr="004C1D92">
        <w:rPr>
          <w:rFonts w:hint="eastAsia"/>
          <w:color w:val="auto"/>
        </w:rPr>
        <w:t>万桶</w:t>
      </w:r>
      <w:r w:rsidR="005D316F" w:rsidRPr="004C1D92">
        <w:rPr>
          <w:color w:val="auto"/>
        </w:rPr>
        <w:t>/</w:t>
      </w:r>
      <w:r w:rsidR="005D316F" w:rsidRPr="004C1D92">
        <w:rPr>
          <w:rFonts w:hint="eastAsia"/>
          <w:color w:val="auto"/>
        </w:rPr>
        <w:t>日。</w:t>
      </w:r>
      <w:r w:rsidR="00141E1A" w:rsidRPr="004C1D92">
        <w:rPr>
          <w:rFonts w:hint="eastAsia"/>
          <w:color w:val="auto"/>
        </w:rPr>
        <w:t>但</w:t>
      </w:r>
      <w:r w:rsidR="00141E1A" w:rsidRPr="004C1D92">
        <w:rPr>
          <w:color w:val="auto"/>
        </w:rPr>
        <w:t>IEA</w:t>
      </w:r>
      <w:r w:rsidR="00141E1A" w:rsidRPr="004C1D92">
        <w:rPr>
          <w:rFonts w:hint="eastAsia"/>
          <w:color w:val="auto"/>
        </w:rPr>
        <w:t>提到，委内瑞拉的问题仍有可能引发新一波的库存下滑。委内瑞拉目前深陷经济危机，两年来石油生产已经下滑五成，降至逾</w:t>
      </w:r>
      <w:r w:rsidR="00141E1A" w:rsidRPr="004C1D92">
        <w:rPr>
          <w:color w:val="auto"/>
        </w:rPr>
        <w:t>10</w:t>
      </w:r>
      <w:r w:rsidR="00141E1A" w:rsidRPr="004C1D92">
        <w:rPr>
          <w:rFonts w:hint="eastAsia"/>
          <w:color w:val="auto"/>
        </w:rPr>
        <w:t>年来的最低位。</w:t>
      </w:r>
    </w:p>
    <w:p w:rsidR="004C1D92" w:rsidRPr="004C1D92" w:rsidRDefault="00AC0C15" w:rsidP="00AA11F9">
      <w:pPr>
        <w:ind w:firstLine="440"/>
        <w:rPr>
          <w:color w:val="auto"/>
        </w:rPr>
      </w:pPr>
      <w:r>
        <w:rPr>
          <w:rFonts w:hint="eastAsia"/>
          <w:color w:val="auto"/>
        </w:rPr>
        <w:t>3</w:t>
      </w:r>
      <w:r w:rsidRPr="00AC0C15">
        <w:rPr>
          <w:rFonts w:hint="eastAsia"/>
          <w:color w:val="auto"/>
        </w:rPr>
        <w:t>月中旬</w:t>
      </w:r>
      <w:r w:rsidR="004C1D92" w:rsidRPr="004C1D92">
        <w:rPr>
          <w:rFonts w:hint="eastAsia"/>
          <w:color w:val="auto"/>
        </w:rPr>
        <w:t>特朗普解雇美国国务卿蒂勒森，因其与特朗普在伊朗核协议方面长时间存在分歧，</w:t>
      </w:r>
      <w:r w:rsidR="004C1D92" w:rsidRPr="004C1D92">
        <w:rPr>
          <w:rFonts w:hint="eastAsia"/>
          <w:color w:val="auto"/>
        </w:rPr>
        <w:lastRenderedPageBreak/>
        <w:t>而特朗普解雇蒂勒森之后，立马让强硬派的蓬佩奥接任，显然表露了其将要撕毁伊朗核协议的野心。若伊朗核协议被撕毁，中东局势必然会因为美国的行为而陷入巨大混乱，而日前沙特与美国达成巨大军售协议，相比沙特和美国之间已经打成了一些内部</w:t>
      </w:r>
      <w:r w:rsidR="004C1D92" w:rsidRPr="004C1D92">
        <w:rPr>
          <w:color w:val="auto"/>
        </w:rPr>
        <w:t>“</w:t>
      </w:r>
      <w:r w:rsidR="004C1D92" w:rsidRPr="004C1D92">
        <w:rPr>
          <w:rFonts w:hint="eastAsia"/>
          <w:color w:val="auto"/>
        </w:rPr>
        <w:t>交易</w:t>
      </w:r>
      <w:r w:rsidR="004C1D92" w:rsidRPr="004C1D92">
        <w:rPr>
          <w:color w:val="auto"/>
        </w:rPr>
        <w:t>”</w:t>
      </w:r>
      <w:r w:rsidR="004C1D92" w:rsidRPr="004C1D92">
        <w:rPr>
          <w:rFonts w:hint="eastAsia"/>
          <w:color w:val="auto"/>
        </w:rPr>
        <w:t>。因为沙特和伊朗一直就是死对头，特朗普想要撕毁奥巴马和伊朗签订的伊核协议，那么和伊朗一直敌对的沙特就是特朗普最适合的“盟友”，中东是原油资源重地，若将来中东的局势升级，必然会引发原油的供应出现断裂，从而导致国际市场上的原油价格大幅波动。</w:t>
      </w:r>
    </w:p>
    <w:p w:rsidR="004C1D92" w:rsidRDefault="00AC0C15" w:rsidP="00AA11F9">
      <w:pPr>
        <w:ind w:firstLine="440"/>
        <w:rPr>
          <w:color w:val="auto"/>
        </w:rPr>
      </w:pPr>
      <w:r w:rsidRPr="00AC0C15">
        <w:rPr>
          <w:rFonts w:hint="eastAsia"/>
          <w:color w:val="auto"/>
        </w:rPr>
        <w:t>另外，近期中美贸易战愈演愈烈，</w:t>
      </w:r>
      <w:r w:rsidR="004C1D92" w:rsidRPr="00AC0C15">
        <w:rPr>
          <w:rFonts w:hint="eastAsia"/>
          <w:color w:val="auto"/>
        </w:rPr>
        <w:t>全球股市与大宗商品市场价格</w:t>
      </w:r>
      <w:r w:rsidRPr="00AC0C15">
        <w:rPr>
          <w:rFonts w:hint="eastAsia"/>
          <w:color w:val="auto"/>
        </w:rPr>
        <w:t>也出现</w:t>
      </w:r>
      <w:r w:rsidR="004C1D92" w:rsidRPr="00AC0C15">
        <w:rPr>
          <w:rFonts w:hint="eastAsia"/>
          <w:color w:val="auto"/>
        </w:rPr>
        <w:t>大幅波动。短期而言，对于原油市场的供需格局不会有太大影响，因为中国当前从美国进口原油只有</w:t>
      </w:r>
      <w:r w:rsidR="004C1D92" w:rsidRPr="00AC0C15">
        <w:rPr>
          <w:color w:val="auto"/>
        </w:rPr>
        <w:t>30</w:t>
      </w:r>
      <w:r w:rsidR="004C1D92" w:rsidRPr="00AC0C15">
        <w:rPr>
          <w:rFonts w:hint="eastAsia"/>
          <w:color w:val="auto"/>
        </w:rPr>
        <w:t>万桶</w:t>
      </w:r>
      <w:r w:rsidR="004C1D92" w:rsidRPr="00AC0C15">
        <w:rPr>
          <w:color w:val="auto"/>
        </w:rPr>
        <w:t>/</w:t>
      </w:r>
      <w:r w:rsidR="004C1D92" w:rsidRPr="00AC0C15">
        <w:rPr>
          <w:rFonts w:hint="eastAsia"/>
          <w:color w:val="auto"/>
        </w:rPr>
        <w:t>日，相比日均</w:t>
      </w:r>
      <w:r w:rsidR="004C1D92" w:rsidRPr="00AC0C15">
        <w:rPr>
          <w:color w:val="auto"/>
        </w:rPr>
        <w:t>870</w:t>
      </w:r>
      <w:r w:rsidR="004C1D92" w:rsidRPr="00AC0C15">
        <w:rPr>
          <w:rFonts w:hint="eastAsia"/>
          <w:color w:val="auto"/>
        </w:rPr>
        <w:t>万桶左右的总进口量来说，占比只有</w:t>
      </w:r>
      <w:r w:rsidR="004C1D92" w:rsidRPr="00AC0C15">
        <w:rPr>
          <w:rFonts w:hint="eastAsia"/>
          <w:color w:val="auto"/>
        </w:rPr>
        <w:t>3.4%</w:t>
      </w:r>
      <w:r w:rsidR="004C1D92" w:rsidRPr="00AC0C15">
        <w:rPr>
          <w:rFonts w:hint="eastAsia"/>
          <w:color w:val="auto"/>
        </w:rPr>
        <w:t>。</w:t>
      </w:r>
      <w:r>
        <w:rPr>
          <w:rFonts w:hint="eastAsia"/>
          <w:color w:val="auto"/>
        </w:rPr>
        <w:t>不过</w:t>
      </w:r>
      <w:r w:rsidR="004C1D92" w:rsidRPr="00AC0C15">
        <w:rPr>
          <w:rFonts w:hint="eastAsia"/>
          <w:color w:val="auto"/>
        </w:rPr>
        <w:t>从长期来看，对原油市场或许更多的是利空，因为这容易引发宏观经济下降，从而抑制原油需求增长。</w:t>
      </w:r>
      <w:r w:rsidRPr="00AA11F9">
        <w:rPr>
          <w:rFonts w:hint="eastAsia"/>
          <w:color w:val="auto"/>
        </w:rPr>
        <w:t>而</w:t>
      </w:r>
      <w:r w:rsidR="004C1D92" w:rsidRPr="00AC0C15">
        <w:rPr>
          <w:rFonts w:hint="eastAsia"/>
          <w:color w:val="auto"/>
        </w:rPr>
        <w:t>中美分别是全球</w:t>
      </w:r>
      <w:r w:rsidRPr="00AA11F9">
        <w:rPr>
          <w:rFonts w:hint="eastAsia"/>
          <w:color w:val="auto"/>
        </w:rPr>
        <w:t>对</w:t>
      </w:r>
      <w:r w:rsidR="004C1D92" w:rsidRPr="00AC0C15">
        <w:rPr>
          <w:rFonts w:hint="eastAsia"/>
          <w:color w:val="auto"/>
        </w:rPr>
        <w:t>原油需求最</w:t>
      </w:r>
      <w:r w:rsidRPr="00AA11F9">
        <w:rPr>
          <w:rFonts w:hint="eastAsia"/>
          <w:color w:val="auto"/>
        </w:rPr>
        <w:t>大</w:t>
      </w:r>
      <w:r w:rsidR="004C1D92" w:rsidRPr="00AC0C15">
        <w:rPr>
          <w:rFonts w:hint="eastAsia"/>
          <w:color w:val="auto"/>
        </w:rPr>
        <w:t>的两个国家，两国原油需求对全球总需求比重高达</w:t>
      </w:r>
      <w:r w:rsidR="004C1D92" w:rsidRPr="00AC0C15">
        <w:rPr>
          <w:color w:val="auto"/>
        </w:rPr>
        <w:t>32%</w:t>
      </w:r>
      <w:r w:rsidR="004C1D92" w:rsidRPr="00AC0C15">
        <w:rPr>
          <w:rFonts w:hint="eastAsia"/>
          <w:color w:val="auto"/>
        </w:rPr>
        <w:t>左右，也分别是全球原油进口量最大的两个国家</w:t>
      </w:r>
      <w:r w:rsidR="004C1D92" w:rsidRPr="00AC0C15">
        <w:rPr>
          <w:color w:val="auto"/>
        </w:rPr>
        <w:t>。</w:t>
      </w:r>
    </w:p>
    <w:p w:rsidR="00ED332C" w:rsidRPr="00ED332C" w:rsidRDefault="00ED332C" w:rsidP="00AA11F9">
      <w:pPr>
        <w:ind w:firstLine="440"/>
        <w:rPr>
          <w:color w:val="auto"/>
        </w:rPr>
      </w:pPr>
      <w:r w:rsidRPr="00ED332C">
        <w:rPr>
          <w:rFonts w:hint="eastAsia"/>
          <w:color w:val="auto"/>
        </w:rPr>
        <w:t>3</w:t>
      </w:r>
      <w:r w:rsidRPr="00ED332C">
        <w:rPr>
          <w:rFonts w:hint="eastAsia"/>
          <w:color w:val="auto"/>
        </w:rPr>
        <w:t>月</w:t>
      </w:r>
      <w:r w:rsidRPr="00ED332C">
        <w:rPr>
          <w:rFonts w:hint="eastAsia"/>
          <w:color w:val="auto"/>
        </w:rPr>
        <w:t>26</w:t>
      </w:r>
      <w:r w:rsidRPr="00ED332C">
        <w:rPr>
          <w:rFonts w:hint="eastAsia"/>
          <w:color w:val="auto"/>
        </w:rPr>
        <w:t>日</w:t>
      </w:r>
      <w:r w:rsidRPr="00ED332C">
        <w:rPr>
          <w:rFonts w:hint="eastAsia"/>
          <w:color w:val="auto"/>
        </w:rPr>
        <w:t>INE</w:t>
      </w:r>
      <w:r w:rsidRPr="00ED332C">
        <w:rPr>
          <w:rFonts w:hint="eastAsia"/>
          <w:color w:val="auto"/>
        </w:rPr>
        <w:t>原油期货在上海国际能源交易中心上市交易。截止</w:t>
      </w:r>
      <w:r w:rsidRPr="00ED332C">
        <w:rPr>
          <w:rFonts w:hint="eastAsia"/>
          <w:color w:val="auto"/>
        </w:rPr>
        <w:t>3</w:t>
      </w:r>
      <w:r w:rsidRPr="00ED332C">
        <w:rPr>
          <w:rFonts w:hint="eastAsia"/>
          <w:color w:val="auto"/>
        </w:rPr>
        <w:t>月</w:t>
      </w:r>
      <w:r w:rsidRPr="00ED332C">
        <w:rPr>
          <w:rFonts w:hint="eastAsia"/>
          <w:color w:val="auto"/>
        </w:rPr>
        <w:t>30</w:t>
      </w:r>
      <w:r w:rsidRPr="00ED332C">
        <w:rPr>
          <w:rFonts w:hint="eastAsia"/>
          <w:color w:val="auto"/>
        </w:rPr>
        <w:t>日，主力</w:t>
      </w:r>
      <w:r w:rsidRPr="00ED332C">
        <w:rPr>
          <w:rFonts w:hint="eastAsia"/>
          <w:color w:val="auto"/>
        </w:rPr>
        <w:t>1809</w:t>
      </w:r>
      <w:r w:rsidRPr="00ED332C">
        <w:rPr>
          <w:rFonts w:hint="eastAsia"/>
          <w:color w:val="auto"/>
        </w:rPr>
        <w:t>合约收报</w:t>
      </w:r>
      <w:r w:rsidRPr="00ED332C">
        <w:rPr>
          <w:rFonts w:hint="eastAsia"/>
          <w:color w:val="auto"/>
        </w:rPr>
        <w:t>420.3</w:t>
      </w:r>
      <w:r w:rsidRPr="00ED332C">
        <w:rPr>
          <w:rFonts w:hint="eastAsia"/>
          <w:color w:val="auto"/>
        </w:rPr>
        <w:t>元</w:t>
      </w:r>
      <w:r w:rsidRPr="00ED332C">
        <w:rPr>
          <w:rFonts w:hint="eastAsia"/>
          <w:color w:val="auto"/>
        </w:rPr>
        <w:t>/</w:t>
      </w:r>
      <w:r w:rsidRPr="00ED332C">
        <w:rPr>
          <w:rFonts w:hint="eastAsia"/>
          <w:color w:val="auto"/>
        </w:rPr>
        <w:t>桶，较首日挂盘基准价上涨</w:t>
      </w:r>
      <w:r w:rsidRPr="00ED332C">
        <w:rPr>
          <w:rFonts w:hint="eastAsia"/>
          <w:color w:val="auto"/>
        </w:rPr>
        <w:t>4.3</w:t>
      </w:r>
      <w:r w:rsidRPr="00ED332C">
        <w:rPr>
          <w:rFonts w:hint="eastAsia"/>
          <w:color w:val="auto"/>
        </w:rPr>
        <w:t>元</w:t>
      </w:r>
      <w:r w:rsidRPr="00ED332C">
        <w:rPr>
          <w:rFonts w:hint="eastAsia"/>
          <w:color w:val="auto"/>
        </w:rPr>
        <w:t>/</w:t>
      </w:r>
      <w:r w:rsidRPr="00ED332C">
        <w:rPr>
          <w:rFonts w:hint="eastAsia"/>
          <w:color w:val="auto"/>
        </w:rPr>
        <w:t>桶，上市首周成交</w:t>
      </w:r>
      <w:r w:rsidRPr="00ED332C">
        <w:rPr>
          <w:rFonts w:hint="eastAsia"/>
          <w:color w:val="auto"/>
        </w:rPr>
        <w:t>278234</w:t>
      </w:r>
      <w:r w:rsidRPr="00ED332C">
        <w:rPr>
          <w:rFonts w:hint="eastAsia"/>
          <w:color w:val="auto"/>
        </w:rPr>
        <w:t>手，持仓量为</w:t>
      </w:r>
      <w:r w:rsidRPr="00ED332C">
        <w:rPr>
          <w:rFonts w:hint="eastAsia"/>
          <w:color w:val="auto"/>
        </w:rPr>
        <w:t>8198</w:t>
      </w:r>
      <w:r w:rsidRPr="00ED332C">
        <w:rPr>
          <w:rFonts w:hint="eastAsia"/>
          <w:color w:val="auto"/>
        </w:rPr>
        <w:t>手，成交额为</w:t>
      </w:r>
      <w:r w:rsidRPr="00ED332C">
        <w:rPr>
          <w:rFonts w:hint="eastAsia"/>
          <w:color w:val="auto"/>
        </w:rPr>
        <w:t>1159.23</w:t>
      </w:r>
      <w:r w:rsidRPr="00ED332C">
        <w:rPr>
          <w:rFonts w:hint="eastAsia"/>
          <w:color w:val="auto"/>
        </w:rPr>
        <w:t>亿元（成交量、持仓量、成交金额均双边计算）。从上市首周</w:t>
      </w:r>
      <w:r>
        <w:rPr>
          <w:rFonts w:hint="eastAsia"/>
          <w:color w:val="auto"/>
        </w:rPr>
        <w:t>价格走势判断，上海原油期货价格走势</w:t>
      </w:r>
      <w:r w:rsidRPr="00ED332C">
        <w:rPr>
          <w:rFonts w:hint="eastAsia"/>
          <w:color w:val="auto"/>
        </w:rPr>
        <w:t>与国际油价粘性较大，尤其是阿曼原油。从原油的定价角度来看，</w:t>
      </w:r>
      <w:r w:rsidRPr="00ED332C">
        <w:rPr>
          <w:rFonts w:hint="eastAsia"/>
          <w:color w:val="auto"/>
        </w:rPr>
        <w:t>INE</w:t>
      </w:r>
      <w:r w:rsidRPr="00ED332C">
        <w:rPr>
          <w:rFonts w:hint="eastAsia"/>
          <w:color w:val="auto"/>
        </w:rPr>
        <w:t>原油期货标的中质含硫原油，可交割油种主要是中东原油，初期把中东原油运往远东的到岸价格作为定价基准。</w:t>
      </w:r>
    </w:p>
    <w:p w:rsidR="00AC0C15" w:rsidRDefault="00AC0C15" w:rsidP="00AC0C15">
      <w:pPr>
        <w:pStyle w:val="2"/>
        <w:spacing w:beforeLines="0"/>
        <w:ind w:left="786" w:firstLineChars="0" w:firstLine="0"/>
      </w:pPr>
      <w:r>
        <w:rPr>
          <w:rFonts w:hint="eastAsia"/>
        </w:rPr>
        <w:t>1.3</w:t>
      </w:r>
      <w:r w:rsidR="00D17B3E">
        <w:rPr>
          <w:rFonts w:hint="eastAsia"/>
        </w:rPr>
        <w:t>基本面分析</w:t>
      </w:r>
    </w:p>
    <w:tbl>
      <w:tblPr>
        <w:tblW w:w="0" w:type="auto"/>
        <w:tblLook w:val="04A0"/>
      </w:tblPr>
      <w:tblGrid>
        <w:gridCol w:w="9287"/>
      </w:tblGrid>
      <w:tr w:rsidR="000A36D0" w:rsidTr="0096141A">
        <w:tc>
          <w:tcPr>
            <w:tcW w:w="9287" w:type="dxa"/>
          </w:tcPr>
          <w:p w:rsidR="000A36D0" w:rsidRPr="002B7058" w:rsidRDefault="00AC0C15" w:rsidP="00AC0C15">
            <w:pPr>
              <w:ind w:firstLineChars="0" w:firstLine="0"/>
              <w:jc w:val="center"/>
              <w:rPr>
                <w:color w:val="auto"/>
              </w:rPr>
            </w:pPr>
            <w:r w:rsidRPr="00C12AE6">
              <w:rPr>
                <w:rFonts w:ascii="宋体" w:eastAsia="宋体" w:hAnsi="宋体" w:cs="宋体" w:hint="eastAsia"/>
                <w:b/>
                <w:color w:val="auto"/>
              </w:rPr>
              <w:t>图</w:t>
            </w:r>
            <w:r>
              <w:rPr>
                <w:rFonts w:ascii="宋体" w:eastAsia="宋体" w:hAnsi="宋体" w:cs="宋体" w:hint="eastAsia"/>
                <w:b/>
                <w:color w:val="auto"/>
              </w:rPr>
              <w:t>2</w:t>
            </w:r>
            <w:r w:rsidRPr="00C12AE6">
              <w:rPr>
                <w:rFonts w:ascii="宋体" w:eastAsia="宋体" w:hAnsi="宋体" w:cs="宋体" w:hint="eastAsia"/>
                <w:b/>
                <w:color w:val="auto"/>
              </w:rPr>
              <w:t>：</w:t>
            </w:r>
            <w:r>
              <w:rPr>
                <w:rFonts w:ascii="宋体" w:eastAsia="宋体" w:hAnsi="宋体" w:cs="宋体" w:hint="eastAsia"/>
                <w:b/>
                <w:color w:val="auto"/>
              </w:rPr>
              <w:t>OPEC原油产量变化</w:t>
            </w:r>
          </w:p>
        </w:tc>
      </w:tr>
      <w:tr w:rsidR="000A36D0" w:rsidTr="0096141A">
        <w:tc>
          <w:tcPr>
            <w:tcW w:w="9287" w:type="dxa"/>
          </w:tcPr>
          <w:p w:rsidR="000A36D0" w:rsidRDefault="00AA11F9" w:rsidP="00AC0C15">
            <w:pPr>
              <w:ind w:firstLineChars="0" w:firstLine="0"/>
              <w:jc w:val="center"/>
            </w:pPr>
            <w:r>
              <w:rPr>
                <w:noProof/>
              </w:rPr>
              <w:drawing>
                <wp:inline distT="0" distB="0" distL="0" distR="0">
                  <wp:extent cx="5629275" cy="3238500"/>
                  <wp:effectExtent l="19050" t="0" r="9525"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cstate="print"/>
                          <a:srcRect/>
                          <a:stretch>
                            <a:fillRect/>
                          </a:stretch>
                        </pic:blipFill>
                        <pic:spPr bwMode="auto">
                          <a:xfrm>
                            <a:off x="0" y="0"/>
                            <a:ext cx="5629275" cy="3238500"/>
                          </a:xfrm>
                          <a:prstGeom prst="rect">
                            <a:avLst/>
                          </a:prstGeom>
                          <a:noFill/>
                          <a:ln w="9525">
                            <a:noFill/>
                            <a:miter lim="800000"/>
                            <a:headEnd/>
                            <a:tailEnd/>
                          </a:ln>
                        </pic:spPr>
                      </pic:pic>
                    </a:graphicData>
                  </a:graphic>
                </wp:inline>
              </w:drawing>
            </w:r>
          </w:p>
        </w:tc>
      </w:tr>
      <w:tr w:rsidR="000A36D0" w:rsidTr="0096141A">
        <w:tc>
          <w:tcPr>
            <w:tcW w:w="9287" w:type="dxa"/>
          </w:tcPr>
          <w:p w:rsidR="000A36D0" w:rsidRPr="000565FB" w:rsidRDefault="003B2E00" w:rsidP="00245761">
            <w:pPr>
              <w:pStyle w:val="a9"/>
              <w:ind w:firstLine="420"/>
              <w:rPr>
                <w:rFonts w:ascii="华文细黑" w:hAnsi="华文细黑"/>
                <w:b w:val="0"/>
                <w:color w:val="333333"/>
                <w:sz w:val="22"/>
                <w:szCs w:val="24"/>
              </w:rPr>
            </w:pPr>
            <w:r w:rsidRPr="0096141A">
              <w:rPr>
                <w:rFonts w:ascii="华文细黑" w:hAnsi="华文细黑" w:hint="eastAsia"/>
                <w:b w:val="0"/>
              </w:rPr>
              <w:t>数据来源：</w:t>
            </w:r>
            <w:r w:rsidR="006F3296" w:rsidRPr="000565FB">
              <w:rPr>
                <w:rFonts w:ascii="华文细黑" w:hAnsi="华文细黑" w:hint="eastAsia"/>
                <w:b w:val="0"/>
              </w:rPr>
              <w:t>Wind</w:t>
            </w:r>
            <w:r w:rsidR="006F3296" w:rsidRPr="000565FB">
              <w:rPr>
                <w:rFonts w:ascii="华文细黑" w:hAnsi="华文细黑"/>
                <w:b w:val="0"/>
              </w:rPr>
              <w:t>，</w:t>
            </w:r>
            <w:r w:rsidR="006F3296" w:rsidRPr="000565FB">
              <w:rPr>
                <w:rFonts w:ascii="华文细黑" w:hAnsi="华文细黑" w:hint="eastAsia"/>
                <w:b w:val="0"/>
              </w:rPr>
              <w:t>兴证期货研发部</w:t>
            </w:r>
          </w:p>
        </w:tc>
      </w:tr>
    </w:tbl>
    <w:p w:rsidR="006F3296" w:rsidRPr="009324E1" w:rsidRDefault="00AC0C15" w:rsidP="009324E1">
      <w:pPr>
        <w:widowControl/>
        <w:shd w:val="clear" w:color="auto" w:fill="FFFFFF"/>
        <w:ind w:firstLine="440"/>
        <w:rPr>
          <w:color w:val="auto"/>
        </w:rPr>
      </w:pPr>
      <w:r w:rsidRPr="009324E1">
        <w:rPr>
          <w:rFonts w:hint="eastAsia"/>
          <w:color w:val="auto"/>
        </w:rPr>
        <w:lastRenderedPageBreak/>
        <w:t>3</w:t>
      </w:r>
      <w:r w:rsidRPr="009324E1">
        <w:rPr>
          <w:rFonts w:ascii="宋体" w:eastAsia="宋体" w:hAnsi="宋体" w:cs="宋体" w:hint="eastAsia"/>
          <w:color w:val="auto"/>
        </w:rPr>
        <w:t>月份</w:t>
      </w:r>
      <w:r w:rsidRPr="009324E1">
        <w:rPr>
          <w:rFonts w:hint="eastAsia"/>
          <w:color w:val="auto"/>
        </w:rPr>
        <w:t>国际原油市场还有一个重磅消息来自</w:t>
      </w:r>
      <w:r w:rsidRPr="009324E1">
        <w:rPr>
          <w:rFonts w:hint="eastAsia"/>
          <w:color w:val="auto"/>
        </w:rPr>
        <w:t>OPEC</w:t>
      </w:r>
      <w:r w:rsidRPr="009324E1">
        <w:rPr>
          <w:rFonts w:hint="eastAsia"/>
          <w:color w:val="auto"/>
        </w:rPr>
        <w:t>，沙特能源部长法利赫发表讲话称，</w:t>
      </w:r>
      <w:r w:rsidRPr="009324E1">
        <w:rPr>
          <w:rFonts w:hint="eastAsia"/>
          <w:color w:val="auto"/>
        </w:rPr>
        <w:t>OPEC</w:t>
      </w:r>
      <w:r w:rsidRPr="009324E1">
        <w:rPr>
          <w:rFonts w:hint="eastAsia"/>
          <w:color w:val="auto"/>
        </w:rPr>
        <w:t>成员国需要继续和俄罗斯等非</w:t>
      </w:r>
      <w:r w:rsidRPr="009324E1">
        <w:rPr>
          <w:rFonts w:hint="eastAsia"/>
          <w:color w:val="auto"/>
        </w:rPr>
        <w:t>OPEC</w:t>
      </w:r>
      <w:r w:rsidRPr="009324E1">
        <w:rPr>
          <w:rFonts w:hint="eastAsia"/>
          <w:color w:val="auto"/>
        </w:rPr>
        <w:t>产油国进行合作，共同将减产行动延长至</w:t>
      </w:r>
      <w:r w:rsidRPr="009324E1">
        <w:rPr>
          <w:rFonts w:hint="eastAsia"/>
          <w:color w:val="auto"/>
        </w:rPr>
        <w:t>2019</w:t>
      </w:r>
      <w:r w:rsidRPr="009324E1">
        <w:rPr>
          <w:rFonts w:hint="eastAsia"/>
          <w:color w:val="auto"/>
        </w:rPr>
        <w:t>年，从而改善全球油市供应过剩局面。目前以沙特阿拉伯为首的</w:t>
      </w:r>
      <w:r w:rsidRPr="009324E1">
        <w:rPr>
          <w:rFonts w:hint="eastAsia"/>
          <w:color w:val="auto"/>
        </w:rPr>
        <w:t>OPEC</w:t>
      </w:r>
      <w:r w:rsidRPr="009324E1">
        <w:rPr>
          <w:rFonts w:hint="eastAsia"/>
          <w:color w:val="auto"/>
        </w:rPr>
        <w:t>一直在执行减产</w:t>
      </w:r>
      <w:r w:rsidRPr="009324E1">
        <w:rPr>
          <w:color w:val="auto"/>
        </w:rPr>
        <w:t>180</w:t>
      </w:r>
      <w:r w:rsidRPr="009324E1">
        <w:rPr>
          <w:rFonts w:hint="eastAsia"/>
          <w:color w:val="auto"/>
        </w:rPr>
        <w:t>万桶</w:t>
      </w:r>
      <w:r w:rsidRPr="009324E1">
        <w:rPr>
          <w:color w:val="auto"/>
        </w:rPr>
        <w:t>/</w:t>
      </w:r>
      <w:r w:rsidRPr="009324E1">
        <w:rPr>
          <w:rFonts w:hint="eastAsia"/>
          <w:color w:val="auto"/>
        </w:rPr>
        <w:t>天的减产协议以支撑油价。该协议始于</w:t>
      </w:r>
      <w:r w:rsidRPr="009324E1">
        <w:rPr>
          <w:color w:val="auto"/>
        </w:rPr>
        <w:t>2017</w:t>
      </w:r>
      <w:r w:rsidRPr="009324E1">
        <w:rPr>
          <w:rFonts w:hint="eastAsia"/>
          <w:color w:val="auto"/>
        </w:rPr>
        <w:t>年</w:t>
      </w:r>
      <w:r w:rsidRPr="009324E1">
        <w:rPr>
          <w:color w:val="auto"/>
        </w:rPr>
        <w:t>1</w:t>
      </w:r>
      <w:r w:rsidRPr="009324E1">
        <w:rPr>
          <w:rFonts w:hint="eastAsia"/>
          <w:color w:val="auto"/>
        </w:rPr>
        <w:t>月，原本将于今年底到期，但现在沙特能源部长的表态似乎有意在推动减产延期，这则利好消息也刺激了油价大幅走高</w:t>
      </w:r>
      <w:r w:rsidR="0096141A" w:rsidRPr="009324E1">
        <w:rPr>
          <w:color w:val="auto"/>
        </w:rPr>
        <w:t>。</w:t>
      </w:r>
    </w:p>
    <w:p w:rsidR="00AC0C15" w:rsidRDefault="009324E1" w:rsidP="009324E1">
      <w:pPr>
        <w:ind w:firstLine="442"/>
        <w:jc w:val="center"/>
        <w:rPr>
          <w:color w:val="auto"/>
        </w:rPr>
      </w:pPr>
      <w:r w:rsidRPr="00C12AE6">
        <w:rPr>
          <w:rFonts w:ascii="宋体" w:eastAsia="宋体" w:hAnsi="宋体" w:cs="宋体" w:hint="eastAsia"/>
          <w:b/>
          <w:color w:val="auto"/>
        </w:rPr>
        <w:t>图</w:t>
      </w:r>
      <w:r>
        <w:rPr>
          <w:rFonts w:ascii="宋体" w:eastAsia="宋体" w:hAnsi="宋体" w:cs="宋体" w:hint="eastAsia"/>
          <w:b/>
          <w:color w:val="auto"/>
        </w:rPr>
        <w:t>2</w:t>
      </w:r>
      <w:r w:rsidRPr="00C12AE6">
        <w:rPr>
          <w:rFonts w:ascii="宋体" w:eastAsia="宋体" w:hAnsi="宋体" w:cs="宋体" w:hint="eastAsia"/>
          <w:b/>
          <w:color w:val="auto"/>
        </w:rPr>
        <w:t>：</w:t>
      </w:r>
      <w:r>
        <w:rPr>
          <w:rFonts w:ascii="宋体" w:eastAsia="宋体" w:hAnsi="宋体" w:cs="宋体" w:hint="eastAsia"/>
          <w:b/>
          <w:color w:val="auto"/>
        </w:rPr>
        <w:t>美国原油库存变化</w:t>
      </w:r>
    </w:p>
    <w:p w:rsidR="009C1C26" w:rsidRDefault="00AA11F9" w:rsidP="009324E1">
      <w:pPr>
        <w:ind w:firstLine="440"/>
        <w:jc w:val="center"/>
        <w:rPr>
          <w:color w:val="auto"/>
        </w:rPr>
      </w:pPr>
      <w:r>
        <w:rPr>
          <w:noProof/>
          <w:color w:val="auto"/>
        </w:rPr>
        <w:drawing>
          <wp:inline distT="0" distB="0" distL="0" distR="0">
            <wp:extent cx="5429250" cy="322897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429250" cy="3228975"/>
                    </a:xfrm>
                    <a:prstGeom prst="rect">
                      <a:avLst/>
                    </a:prstGeom>
                    <a:noFill/>
                    <a:ln w="9525">
                      <a:noFill/>
                      <a:miter lim="800000"/>
                      <a:headEnd/>
                      <a:tailEnd/>
                    </a:ln>
                  </pic:spPr>
                </pic:pic>
              </a:graphicData>
            </a:graphic>
          </wp:inline>
        </w:drawing>
      </w:r>
    </w:p>
    <w:p w:rsidR="009C1C26" w:rsidRDefault="009324E1" w:rsidP="009324E1">
      <w:pPr>
        <w:pStyle w:val="a9"/>
        <w:ind w:firstLine="420"/>
      </w:pPr>
      <w:r w:rsidRPr="0096141A">
        <w:rPr>
          <w:rFonts w:ascii="华文细黑" w:hAnsi="华文细黑" w:hint="eastAsia"/>
          <w:b w:val="0"/>
        </w:rPr>
        <w:t>数据来源：Wind</w:t>
      </w:r>
      <w:r w:rsidRPr="0096141A">
        <w:rPr>
          <w:rFonts w:ascii="华文细黑" w:hAnsi="华文细黑"/>
          <w:b w:val="0"/>
        </w:rPr>
        <w:t>，</w:t>
      </w:r>
      <w:r w:rsidRPr="0096141A">
        <w:rPr>
          <w:rFonts w:ascii="华文细黑" w:hAnsi="华文细黑" w:hint="eastAsia"/>
          <w:b w:val="0"/>
        </w:rPr>
        <w:t>兴证期货研发部</w:t>
      </w:r>
    </w:p>
    <w:p w:rsidR="009C1C26" w:rsidRPr="009324E1" w:rsidRDefault="009324E1" w:rsidP="009324E1">
      <w:pPr>
        <w:widowControl/>
        <w:shd w:val="clear" w:color="auto" w:fill="FFFFFF"/>
        <w:ind w:firstLine="440"/>
        <w:rPr>
          <w:color w:val="auto"/>
        </w:rPr>
      </w:pPr>
      <w:r w:rsidRPr="009324E1">
        <w:rPr>
          <w:rFonts w:hint="eastAsia"/>
          <w:color w:val="auto"/>
        </w:rPr>
        <w:t>根据</w:t>
      </w:r>
      <w:r w:rsidRPr="009324E1">
        <w:rPr>
          <w:rFonts w:hint="eastAsia"/>
          <w:color w:val="auto"/>
        </w:rPr>
        <w:t>EIA</w:t>
      </w:r>
      <w:r w:rsidRPr="009324E1">
        <w:rPr>
          <w:rFonts w:hint="eastAsia"/>
          <w:color w:val="auto"/>
        </w:rPr>
        <w:t>公布的最新数据显示，截至</w:t>
      </w:r>
      <w:r w:rsidRPr="009324E1">
        <w:rPr>
          <w:rFonts w:hint="eastAsia"/>
          <w:color w:val="auto"/>
        </w:rPr>
        <w:t>3</w:t>
      </w:r>
      <w:r w:rsidRPr="009324E1">
        <w:rPr>
          <w:rFonts w:hint="eastAsia"/>
          <w:color w:val="auto"/>
        </w:rPr>
        <w:t>月</w:t>
      </w:r>
      <w:r w:rsidRPr="009324E1">
        <w:rPr>
          <w:rFonts w:hint="eastAsia"/>
          <w:color w:val="auto"/>
        </w:rPr>
        <w:t>23</w:t>
      </w:r>
      <w:r w:rsidRPr="009324E1">
        <w:rPr>
          <w:rFonts w:hint="eastAsia"/>
          <w:color w:val="auto"/>
        </w:rPr>
        <w:t>日当周，美国原油库存增加</w:t>
      </w:r>
      <w:r w:rsidRPr="009324E1">
        <w:rPr>
          <w:rFonts w:hint="eastAsia"/>
          <w:color w:val="auto"/>
        </w:rPr>
        <w:t>164.3</w:t>
      </w:r>
      <w:r w:rsidRPr="009324E1">
        <w:rPr>
          <w:rFonts w:hint="eastAsia"/>
          <w:color w:val="auto"/>
        </w:rPr>
        <w:t>万桶至</w:t>
      </w:r>
      <w:r w:rsidRPr="009324E1">
        <w:rPr>
          <w:rFonts w:hint="eastAsia"/>
          <w:color w:val="auto"/>
        </w:rPr>
        <w:t>4.3</w:t>
      </w:r>
      <w:r w:rsidRPr="009324E1">
        <w:rPr>
          <w:rFonts w:hint="eastAsia"/>
          <w:color w:val="auto"/>
        </w:rPr>
        <w:t>亿桶，市场预估为减少</w:t>
      </w:r>
      <w:r w:rsidRPr="009324E1">
        <w:rPr>
          <w:rFonts w:hint="eastAsia"/>
          <w:color w:val="auto"/>
        </w:rPr>
        <w:t>28.7</w:t>
      </w:r>
      <w:r w:rsidRPr="009324E1">
        <w:rPr>
          <w:rFonts w:hint="eastAsia"/>
          <w:color w:val="auto"/>
        </w:rPr>
        <w:t>万桶。俄克拉荷马州库欣原油库存增加</w:t>
      </w:r>
      <w:r w:rsidRPr="009324E1">
        <w:rPr>
          <w:rFonts w:hint="eastAsia"/>
          <w:color w:val="auto"/>
        </w:rPr>
        <w:t>180.4</w:t>
      </w:r>
      <w:r w:rsidRPr="009324E1">
        <w:rPr>
          <w:rFonts w:hint="eastAsia"/>
          <w:color w:val="auto"/>
        </w:rPr>
        <w:t>万桶，连续三周录得增长。不过精炼油库存减少</w:t>
      </w:r>
      <w:r w:rsidRPr="009324E1">
        <w:rPr>
          <w:rFonts w:hint="eastAsia"/>
          <w:color w:val="auto"/>
        </w:rPr>
        <w:t>209</w:t>
      </w:r>
      <w:r w:rsidRPr="009324E1">
        <w:rPr>
          <w:rFonts w:hint="eastAsia"/>
          <w:color w:val="auto"/>
        </w:rPr>
        <w:t>万桶，连续七周录得下滑，市场预估为减少</w:t>
      </w:r>
      <w:r w:rsidRPr="009324E1">
        <w:rPr>
          <w:rFonts w:hint="eastAsia"/>
          <w:color w:val="auto"/>
        </w:rPr>
        <w:t>161.8</w:t>
      </w:r>
      <w:r w:rsidRPr="009324E1">
        <w:rPr>
          <w:rFonts w:hint="eastAsia"/>
          <w:color w:val="auto"/>
        </w:rPr>
        <w:t>万桶。同时汽油库存减少</w:t>
      </w:r>
      <w:r w:rsidRPr="009324E1">
        <w:rPr>
          <w:rFonts w:hint="eastAsia"/>
          <w:color w:val="auto"/>
        </w:rPr>
        <w:t>347.2</w:t>
      </w:r>
      <w:r w:rsidRPr="009324E1">
        <w:rPr>
          <w:rFonts w:hint="eastAsia"/>
          <w:color w:val="auto"/>
        </w:rPr>
        <w:t>万桶，连续四周录得下滑，市场预估为减少</w:t>
      </w:r>
      <w:r w:rsidRPr="009324E1">
        <w:rPr>
          <w:rFonts w:hint="eastAsia"/>
          <w:color w:val="auto"/>
        </w:rPr>
        <w:t>195.4</w:t>
      </w:r>
      <w:r w:rsidRPr="009324E1">
        <w:rPr>
          <w:rFonts w:hint="eastAsia"/>
          <w:color w:val="auto"/>
        </w:rPr>
        <w:t>万桶。</w:t>
      </w:r>
    </w:p>
    <w:p w:rsidR="009C1C26" w:rsidRDefault="009324E1" w:rsidP="009324E1">
      <w:pPr>
        <w:ind w:firstLine="442"/>
        <w:jc w:val="center"/>
        <w:rPr>
          <w:color w:val="auto"/>
        </w:rPr>
      </w:pPr>
      <w:r w:rsidRPr="00C12AE6">
        <w:rPr>
          <w:rFonts w:ascii="宋体" w:eastAsia="宋体" w:hAnsi="宋体" w:cs="宋体" w:hint="eastAsia"/>
          <w:b/>
          <w:color w:val="auto"/>
        </w:rPr>
        <w:t>图</w:t>
      </w:r>
      <w:r>
        <w:rPr>
          <w:rFonts w:ascii="宋体" w:eastAsia="宋体" w:hAnsi="宋体" w:cs="宋体" w:hint="eastAsia"/>
          <w:b/>
          <w:color w:val="auto"/>
        </w:rPr>
        <w:t>2</w:t>
      </w:r>
      <w:r w:rsidRPr="00C12AE6">
        <w:rPr>
          <w:rFonts w:ascii="宋体" w:eastAsia="宋体" w:hAnsi="宋体" w:cs="宋体" w:hint="eastAsia"/>
          <w:b/>
          <w:color w:val="auto"/>
        </w:rPr>
        <w:t>：</w:t>
      </w:r>
      <w:r w:rsidR="00427DAD">
        <w:rPr>
          <w:rFonts w:ascii="宋体" w:eastAsia="宋体" w:hAnsi="宋体" w:cs="宋体" w:hint="eastAsia"/>
          <w:b/>
          <w:color w:val="auto"/>
        </w:rPr>
        <w:t>美国</w:t>
      </w:r>
      <w:r>
        <w:rPr>
          <w:rFonts w:ascii="宋体" w:eastAsia="宋体" w:hAnsi="宋体" w:cs="宋体" w:hint="eastAsia"/>
          <w:b/>
          <w:color w:val="auto"/>
        </w:rPr>
        <w:t>原油产量变化</w:t>
      </w:r>
    </w:p>
    <w:p w:rsidR="009C1C26" w:rsidRDefault="00AA11F9" w:rsidP="00427DAD">
      <w:pPr>
        <w:ind w:firstLine="440"/>
        <w:jc w:val="center"/>
        <w:rPr>
          <w:color w:val="auto"/>
        </w:rPr>
      </w:pPr>
      <w:r>
        <w:rPr>
          <w:noProof/>
          <w:color w:val="auto"/>
        </w:rPr>
        <w:lastRenderedPageBreak/>
        <w:drawing>
          <wp:inline distT="0" distB="0" distL="0" distR="0">
            <wp:extent cx="5467350" cy="3228975"/>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5467350" cy="3228975"/>
                    </a:xfrm>
                    <a:prstGeom prst="rect">
                      <a:avLst/>
                    </a:prstGeom>
                    <a:noFill/>
                    <a:ln w="9525">
                      <a:noFill/>
                      <a:miter lim="800000"/>
                      <a:headEnd/>
                      <a:tailEnd/>
                    </a:ln>
                  </pic:spPr>
                </pic:pic>
              </a:graphicData>
            </a:graphic>
          </wp:inline>
        </w:drawing>
      </w:r>
    </w:p>
    <w:p w:rsidR="009C1C26" w:rsidRDefault="009324E1" w:rsidP="009324E1">
      <w:pPr>
        <w:ind w:firstLine="440"/>
        <w:jc w:val="center"/>
        <w:rPr>
          <w:color w:val="auto"/>
        </w:rPr>
      </w:pPr>
      <w:r w:rsidRPr="0096141A">
        <w:rPr>
          <w:rFonts w:ascii="宋体" w:eastAsia="宋体" w:hAnsi="宋体" w:cs="宋体" w:hint="eastAsia"/>
        </w:rPr>
        <w:t>数据来源：</w:t>
      </w:r>
      <w:r w:rsidRPr="0096141A">
        <w:rPr>
          <w:rFonts w:ascii="华文细黑" w:hAnsi="华文细黑" w:hint="eastAsia"/>
        </w:rPr>
        <w:t>Wind</w:t>
      </w:r>
      <w:r w:rsidRPr="0096141A">
        <w:rPr>
          <w:rFonts w:ascii="宋体" w:eastAsia="宋体" w:hAnsi="宋体" w:cs="宋体" w:hint="eastAsia"/>
        </w:rPr>
        <w:t>，兴证期货研发部</w:t>
      </w:r>
    </w:p>
    <w:p w:rsidR="009324E1" w:rsidRPr="00427DAD" w:rsidRDefault="00427DAD" w:rsidP="00AA11F9">
      <w:pPr>
        <w:ind w:firstLine="440"/>
        <w:rPr>
          <w:color w:val="auto"/>
        </w:rPr>
      </w:pPr>
      <w:r w:rsidRPr="00427DAD">
        <w:rPr>
          <w:rFonts w:hint="eastAsia"/>
          <w:color w:val="auto"/>
        </w:rPr>
        <w:t>另外，根据</w:t>
      </w:r>
      <w:r w:rsidRPr="00427DAD">
        <w:rPr>
          <w:rFonts w:hint="eastAsia"/>
          <w:color w:val="auto"/>
        </w:rPr>
        <w:t>EIA</w:t>
      </w:r>
      <w:r w:rsidRPr="00427DAD">
        <w:rPr>
          <w:rFonts w:hint="eastAsia"/>
          <w:color w:val="auto"/>
        </w:rPr>
        <w:t>公布的最新数据显示，截至</w:t>
      </w:r>
      <w:r w:rsidRPr="00427DAD">
        <w:rPr>
          <w:rFonts w:hint="eastAsia"/>
          <w:color w:val="auto"/>
        </w:rPr>
        <w:t>3</w:t>
      </w:r>
      <w:r w:rsidRPr="00427DAD">
        <w:rPr>
          <w:rFonts w:hint="eastAsia"/>
          <w:color w:val="auto"/>
        </w:rPr>
        <w:t>月</w:t>
      </w:r>
      <w:r w:rsidRPr="00427DAD">
        <w:rPr>
          <w:rFonts w:hint="eastAsia"/>
          <w:color w:val="auto"/>
        </w:rPr>
        <w:t>23</w:t>
      </w:r>
      <w:r w:rsidRPr="00427DAD">
        <w:rPr>
          <w:rFonts w:hint="eastAsia"/>
          <w:color w:val="auto"/>
        </w:rPr>
        <w:t>日当周，美国原油产量达到了</w:t>
      </w:r>
      <w:r w:rsidRPr="00427DAD">
        <w:rPr>
          <w:rFonts w:hint="eastAsia"/>
          <w:color w:val="auto"/>
        </w:rPr>
        <w:t>1043</w:t>
      </w:r>
      <w:r w:rsidRPr="00427DAD">
        <w:rPr>
          <w:rFonts w:hint="eastAsia"/>
          <w:color w:val="auto"/>
        </w:rPr>
        <w:t>万桶</w:t>
      </w:r>
      <w:r w:rsidRPr="00427DAD">
        <w:rPr>
          <w:rFonts w:hint="eastAsia"/>
          <w:color w:val="auto"/>
        </w:rPr>
        <w:t>/</w:t>
      </w:r>
      <w:r w:rsidRPr="00427DAD">
        <w:rPr>
          <w:rFonts w:hint="eastAsia"/>
          <w:color w:val="auto"/>
        </w:rPr>
        <w:t>天，连续五周增长，并继续刷新历史记录，目前已超过沙特成为世界第二大原油生产国，进一步逼近俄罗斯产量水平。短期来看，中东地缘政治和</w:t>
      </w:r>
      <w:r w:rsidRPr="00427DAD">
        <w:rPr>
          <w:rFonts w:hint="eastAsia"/>
          <w:color w:val="auto"/>
        </w:rPr>
        <w:t>OPEC</w:t>
      </w:r>
      <w:r w:rsidRPr="00427DAD">
        <w:rPr>
          <w:rFonts w:hint="eastAsia"/>
          <w:color w:val="auto"/>
        </w:rPr>
        <w:t>继续减产等因素给油价以更多的支撑，但中长期来看，美国页岩油产量的不断攀升必将威胁到</w:t>
      </w:r>
      <w:r w:rsidRPr="00427DAD">
        <w:rPr>
          <w:rFonts w:hint="eastAsia"/>
          <w:color w:val="auto"/>
        </w:rPr>
        <w:t>OPEC</w:t>
      </w:r>
      <w:r w:rsidRPr="00427DAD">
        <w:rPr>
          <w:rFonts w:hint="eastAsia"/>
          <w:color w:val="auto"/>
        </w:rPr>
        <w:t>的减产行动。</w:t>
      </w:r>
    </w:p>
    <w:p w:rsidR="00D17B3E" w:rsidRDefault="00D17B3E" w:rsidP="00D17B3E">
      <w:pPr>
        <w:pStyle w:val="1"/>
        <w:spacing w:beforeLines="0"/>
        <w:ind w:firstLine="723"/>
      </w:pPr>
      <w:r>
        <w:rPr>
          <w:rFonts w:ascii="宋体" w:eastAsia="宋体" w:hAnsi="宋体" w:cs="宋体" w:hint="eastAsia"/>
        </w:rPr>
        <w:t>2.</w:t>
      </w:r>
      <w:r w:rsidR="00BC2282">
        <w:rPr>
          <w:rFonts w:ascii="宋体" w:eastAsia="宋体" w:hAnsi="宋体" w:cs="宋体" w:hint="eastAsia"/>
        </w:rPr>
        <w:t>总结与后市展望</w:t>
      </w:r>
    </w:p>
    <w:p w:rsidR="00AC0C15" w:rsidRPr="00BC2282" w:rsidRDefault="00BC2282" w:rsidP="00AA11F9">
      <w:pPr>
        <w:ind w:firstLine="440"/>
        <w:rPr>
          <w:rFonts w:ascii="宋体" w:eastAsia="宋体" w:hAnsi="宋体" w:cs="宋体"/>
          <w:color w:val="auto"/>
        </w:rPr>
      </w:pPr>
      <w:r w:rsidRPr="00BC2282">
        <w:rPr>
          <w:rFonts w:hint="eastAsia"/>
          <w:color w:val="auto"/>
        </w:rPr>
        <w:t>近期中东地缘风险因素将继续支撑油价高位运行，另外</w:t>
      </w:r>
      <w:r w:rsidRPr="00BC2282">
        <w:rPr>
          <w:rFonts w:hint="eastAsia"/>
          <w:color w:val="auto"/>
        </w:rPr>
        <w:t>6</w:t>
      </w:r>
      <w:r w:rsidRPr="00BC2282">
        <w:rPr>
          <w:rFonts w:hint="eastAsia"/>
          <w:color w:val="auto"/>
        </w:rPr>
        <w:t>月份</w:t>
      </w:r>
      <w:r w:rsidRPr="00BC2282">
        <w:rPr>
          <w:rFonts w:hint="eastAsia"/>
          <w:color w:val="auto"/>
        </w:rPr>
        <w:t>OPEC</w:t>
      </w:r>
      <w:r w:rsidRPr="00BC2282">
        <w:rPr>
          <w:rFonts w:hint="eastAsia"/>
          <w:color w:val="auto"/>
        </w:rPr>
        <w:t>会议也将召开，沙特能源部长近期也表达了支持继续减产的意愿，这些利好因素都支撑了油价再次反弹上行。另外美国方面，</w:t>
      </w:r>
      <w:r w:rsidRPr="00BC2282">
        <w:rPr>
          <w:rFonts w:hint="eastAsia"/>
          <w:color w:val="auto"/>
        </w:rPr>
        <w:t>5</w:t>
      </w:r>
      <w:r w:rsidRPr="00BC2282">
        <w:rPr>
          <w:rFonts w:hint="eastAsia"/>
          <w:color w:val="auto"/>
        </w:rPr>
        <w:t>月特朗普政府就将作出是否维持伊朗核协议的最终决定，而现在已经换上了两位更偏鹰派的人物，表明美国政府今后在处理中东问题时，或将采取更加激进的立场，这也将进一步加剧中东地区地缘风险。而对于美国原油产量方面，短期在利多因素提振下显得有所弱化；但中长期来看，美国页岩油产量的不断攀升必将威胁到</w:t>
      </w:r>
      <w:r w:rsidRPr="00BC2282">
        <w:rPr>
          <w:rFonts w:hint="eastAsia"/>
          <w:color w:val="auto"/>
        </w:rPr>
        <w:t>OPEC</w:t>
      </w:r>
      <w:r w:rsidRPr="00BC2282">
        <w:rPr>
          <w:rFonts w:hint="eastAsia"/>
          <w:color w:val="auto"/>
        </w:rPr>
        <w:t>的减产行动，还不宜过分乐观。</w:t>
      </w:r>
    </w:p>
    <w:p w:rsidR="00BC2282" w:rsidRDefault="00BC2282" w:rsidP="00AC0C15">
      <w:pPr>
        <w:ind w:firstLine="440"/>
        <w:rPr>
          <w:color w:val="auto"/>
        </w:rPr>
      </w:pPr>
    </w:p>
    <w:p w:rsidR="00BC2282" w:rsidRDefault="00BC2282" w:rsidP="00AC0C15">
      <w:pPr>
        <w:ind w:firstLine="440"/>
        <w:rPr>
          <w:color w:val="auto"/>
        </w:rPr>
      </w:pPr>
    </w:p>
    <w:p w:rsidR="00293DD0" w:rsidRDefault="00293DD0" w:rsidP="00293DD0">
      <w:pPr>
        <w:ind w:firstLineChars="0" w:firstLine="0"/>
        <w:rPr>
          <w:rStyle w:val="a4"/>
          <w:color w:val="9DA4D3"/>
        </w:rPr>
      </w:pPr>
      <w:r>
        <w:rPr>
          <w:rStyle w:val="a4"/>
          <w:color w:val="9DA4D3"/>
        </w:rPr>
        <w:t>分析师承诺</w:t>
      </w:r>
    </w:p>
    <w:p w:rsidR="00293DD0" w:rsidRPr="00BC2282" w:rsidRDefault="00293DD0" w:rsidP="00293DD0">
      <w:pPr>
        <w:ind w:firstLine="440"/>
        <w:rPr>
          <w:color w:val="auto"/>
        </w:rPr>
      </w:pPr>
      <w:r w:rsidRPr="00BC2282">
        <w:rPr>
          <w:rFonts w:hint="eastAsia"/>
          <w:color w:val="auto"/>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93DD0" w:rsidRDefault="00293DD0" w:rsidP="00293DD0">
      <w:pPr>
        <w:ind w:firstLine="440"/>
        <w:rPr>
          <w:rStyle w:val="a4"/>
          <w:rFonts w:ascii="Times New Roman"/>
          <w:b w:val="0"/>
          <w:color w:val="auto"/>
          <w:sz w:val="22"/>
          <w:szCs w:val="24"/>
        </w:rPr>
      </w:pPr>
    </w:p>
    <w:p w:rsidR="00293DD0" w:rsidRDefault="00293DD0" w:rsidP="00293DD0">
      <w:pPr>
        <w:ind w:firstLineChars="0" w:firstLine="0"/>
        <w:rPr>
          <w:rStyle w:val="a4"/>
          <w:color w:val="9DA4D3"/>
        </w:rPr>
      </w:pPr>
      <w:r>
        <w:rPr>
          <w:rStyle w:val="a4"/>
          <w:color w:val="9DA4D3"/>
        </w:rPr>
        <w:t>免责声明</w:t>
      </w:r>
    </w:p>
    <w:p w:rsidR="00293DD0" w:rsidRPr="00BC2282" w:rsidRDefault="00293DD0" w:rsidP="00293DD0">
      <w:pPr>
        <w:ind w:firstLine="440"/>
        <w:rPr>
          <w:color w:val="auto"/>
        </w:rPr>
      </w:pPr>
      <w:r w:rsidRPr="00BC2282">
        <w:rPr>
          <w:rFonts w:hint="eastAsia"/>
          <w:color w:val="auto"/>
        </w:rPr>
        <w:lastRenderedPageBreak/>
        <w:t>本报告的信息均来源于公开资料，我公司对这些信息的准确性和完整性不作任何保证，也不保证所包含的信息和建议不会发生任何变更。文中的观点、结论和建议仅供参考。兴证期货可发出其它与本报告所载资料不一致及有不同结论的报告。本报告及该等报告反映编写分析员的不同设想、见解及分析方法。报告所载资料、意见及推测仅反映分析员于发出此报告日期当日的独立判断。</w:t>
      </w:r>
    </w:p>
    <w:p w:rsidR="00293DD0" w:rsidRPr="00BC2282" w:rsidRDefault="00293DD0" w:rsidP="00293DD0">
      <w:pPr>
        <w:ind w:firstLine="440"/>
        <w:rPr>
          <w:color w:val="auto"/>
        </w:rPr>
      </w:pPr>
      <w:r w:rsidRPr="00BC2282">
        <w:rPr>
          <w:rFonts w:hint="eastAsia"/>
          <w:color w:val="auto"/>
        </w:rPr>
        <w:t>客户不应视本报告为作出投资决策的惟一因素。本报告中所指的投资及服务可能不适合个别客户，不构成客户私人咨询建议。本公司未确保本报告充分考虑到个别客户特殊的投资目标、财务状况或需要。本公司建议客户应考虑本报告的任何意见或建议是否符合其特定状况，以及（若有必要）咨询独立投资顾问。</w:t>
      </w:r>
    </w:p>
    <w:p w:rsidR="00293DD0" w:rsidRPr="00BC2282" w:rsidRDefault="00293DD0" w:rsidP="00293DD0">
      <w:pPr>
        <w:ind w:firstLine="440"/>
        <w:rPr>
          <w:color w:val="auto"/>
        </w:rPr>
      </w:pPr>
      <w:r w:rsidRPr="00BC2282">
        <w:rPr>
          <w:rFonts w:hint="eastAsia"/>
          <w:color w:val="auto"/>
        </w:rPr>
        <w:t>在任何情况下，本报告中的信息或所表述的意见并不构成对任何人的投资建议。在任何情况下，本公司不对任何人因使用本报告中的任何内容所引致的损失负任何责任。</w:t>
      </w:r>
    </w:p>
    <w:p w:rsidR="00293DD0" w:rsidRPr="00BC2282" w:rsidRDefault="00293DD0" w:rsidP="00293DD0">
      <w:pPr>
        <w:ind w:firstLine="440"/>
        <w:rPr>
          <w:color w:val="auto"/>
        </w:rPr>
      </w:pPr>
      <w:r w:rsidRPr="00BC2282">
        <w:rPr>
          <w:rFonts w:hint="eastAsia"/>
          <w:color w:val="auto"/>
        </w:rPr>
        <w:t>本报告的观点可能与资管团队的观点不同或对立，对于基于本报告全面或部分做出的交易、结果，不论盈利或亏损，兴证期货研究发展部不承担责任。</w:t>
      </w:r>
    </w:p>
    <w:p w:rsidR="000054D7" w:rsidRPr="00BC2282" w:rsidRDefault="00293DD0" w:rsidP="00F6281E">
      <w:pPr>
        <w:ind w:firstLine="440"/>
        <w:rPr>
          <w:color w:val="auto"/>
        </w:rPr>
      </w:pPr>
      <w:r w:rsidRPr="00BC2282">
        <w:rPr>
          <w:rFonts w:hint="eastAsia"/>
          <w:color w:val="auto"/>
        </w:rPr>
        <w:t>本报告版权仅为兴证期货有限公司所有，未经书面许可，任何机构和个人不得以任何形式翻版、复制和发布。如引用、刊发，需注明出处兴证期货研究发展部，且不得对本报告进行有悖原意的引用、删节和修改。</w:t>
      </w:r>
    </w:p>
    <w:sectPr w:rsidR="000054D7" w:rsidRPr="00BC2282" w:rsidSect="00E36B57">
      <w:headerReference w:type="default" r:id="rId19"/>
      <w:pgSz w:w="11907" w:h="16160"/>
      <w:pgMar w:top="1616" w:right="1418" w:bottom="1616" w:left="1418" w:header="851" w:footer="992" w:gutter="0"/>
      <w:cols w:space="720"/>
      <w:docGrid w:type="lines" w:linePitch="326" w:charSpace="130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6DA" w:rsidRDefault="007926DA" w:rsidP="00FF2BD3">
      <w:pPr>
        <w:ind w:firstLine="440"/>
      </w:pPr>
      <w:r>
        <w:separator/>
      </w:r>
    </w:p>
  </w:endnote>
  <w:endnote w:type="continuationSeparator" w:id="0">
    <w:p w:rsidR="007926DA" w:rsidRDefault="007926DA" w:rsidP="00FF2BD3">
      <w:pPr>
        <w:ind w:firstLine="4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Lingoes Unicode"/>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altName w:val="Lingoes Unicode"/>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AC" w:rsidRDefault="00D63CAC">
    <w:pPr>
      <w:pStyle w:val="ad"/>
      <w:ind w:firstLine="360"/>
    </w:pPr>
  </w:p>
  <w:p w:rsidR="00D63CAC" w:rsidRDefault="00D63CAC">
    <w:pPr>
      <w:ind w:firstLine="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AC" w:rsidRDefault="00D63CAC">
    <w:pPr>
      <w:pStyle w:val="ad"/>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6DA" w:rsidRDefault="007926DA" w:rsidP="00FF2BD3">
      <w:pPr>
        <w:ind w:firstLine="440"/>
      </w:pPr>
      <w:r>
        <w:separator/>
      </w:r>
    </w:p>
  </w:footnote>
  <w:footnote w:type="continuationSeparator" w:id="0">
    <w:p w:rsidR="007926DA" w:rsidRDefault="007926DA" w:rsidP="00FF2BD3">
      <w:pPr>
        <w:ind w:firstLine="4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AC" w:rsidRDefault="00D63CAC">
    <w:pPr>
      <w:pStyle w:val="ae"/>
      <w:ind w:firstLine="360"/>
    </w:pPr>
  </w:p>
  <w:p w:rsidR="00D63CAC" w:rsidRDefault="00D63CAC">
    <w:pPr>
      <w:ind w:firstLine="4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AC" w:rsidRDefault="00AA11F9" w:rsidP="000D5A21">
    <w:pPr>
      <w:ind w:leftChars="-1675" w:left="-3685" w:firstLineChars="0" w:firstLine="0"/>
      <w:jc w:val="right"/>
    </w:pPr>
    <w:r>
      <w:rPr>
        <w:noProof/>
      </w:rPr>
      <w:drawing>
        <wp:inline distT="0" distB="0" distL="0" distR="0">
          <wp:extent cx="3314700" cy="466725"/>
          <wp:effectExtent l="19050" t="0" r="0" b="0"/>
          <wp:docPr id="5" name="图片 0"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logo集合-03.jpg"/>
                  <pic:cNvPicPr>
                    <a:picLocks noChangeAspect="1" noChangeArrowheads="1"/>
                  </pic:cNvPicPr>
                </pic:nvPicPr>
                <pic:blipFill>
                  <a:blip r:embed="rId1"/>
                  <a:srcRect t="43915" r="7936" b="43121"/>
                  <a:stretch>
                    <a:fillRect/>
                  </a:stretch>
                </pic:blipFill>
                <pic:spPr bwMode="auto">
                  <a:xfrm>
                    <a:off x="0" y="0"/>
                    <a:ext cx="331470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AC" w:rsidRDefault="00D63CAC">
    <w:pPr>
      <w:pStyle w:val="ae"/>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CAC" w:rsidRDefault="00F95216">
    <w:pPr>
      <w:pStyle w:val="ae"/>
      <w:ind w:firstLineChars="0" w:firstLine="0"/>
      <w:jc w:val="left"/>
      <w:rPr>
        <w:rFonts w:ascii="隶书" w:eastAsia="隶书"/>
        <w:sz w:val="24"/>
      </w:rPr>
    </w:pPr>
    <w:r>
      <w:rPr>
        <w:rFonts w:ascii="隶书" w:eastAsia="隶书" w:hint="eastAsia"/>
        <w:sz w:val="28"/>
      </w:rPr>
      <w:t>月</w:t>
    </w:r>
    <w:r w:rsidR="00D63CAC">
      <w:rPr>
        <w:rFonts w:ascii="隶书" w:eastAsia="隶书" w:hint="eastAsia"/>
        <w:sz w:val="28"/>
      </w:rPr>
      <w:t>度报告</w:t>
    </w:r>
    <w:r w:rsidR="00D63CAC">
      <w:rPr>
        <w:rFonts w:ascii="隶书" w:eastAsia="隶书" w:hint="eastAsia"/>
        <w:sz w:val="24"/>
      </w:rPr>
      <w:t xml:space="preserve">                                     </w:t>
    </w:r>
    <w:r w:rsidR="00AA11F9">
      <w:rPr>
        <w:rFonts w:ascii="隶书" w:eastAsia="隶书"/>
        <w:noProof/>
        <w:sz w:val="24"/>
      </w:rPr>
      <w:drawing>
        <wp:inline distT="0" distB="0" distL="0" distR="0">
          <wp:extent cx="2095500" cy="247650"/>
          <wp:effectExtent l="19050" t="0" r="0" b="0"/>
          <wp:docPr id="6" name="图片 6"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集合-03.jpg"/>
                  <pic:cNvPicPr>
                    <a:picLocks noChangeAspect="1" noChangeArrowheads="1"/>
                  </pic:cNvPicPr>
                </pic:nvPicPr>
                <pic:blipFill>
                  <a:blip r:embed="rId1"/>
                  <a:srcRect t="43915" b="44180"/>
                  <a:stretch>
                    <a:fillRect/>
                  </a:stretch>
                </pic:blipFill>
                <pic:spPr bwMode="auto">
                  <a:xfrm>
                    <a:off x="0" y="0"/>
                    <a:ext cx="2095500" cy="247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C7D71E9"/>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attachedTemplate r:id="rId1"/>
  <w:stylePaneFormatFilter w:val="3F01"/>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11266"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26DA"/>
    <w:rsid w:val="00000749"/>
    <w:rsid w:val="0000178C"/>
    <w:rsid w:val="0000371F"/>
    <w:rsid w:val="0000499E"/>
    <w:rsid w:val="000054D7"/>
    <w:rsid w:val="00006158"/>
    <w:rsid w:val="00007913"/>
    <w:rsid w:val="00007C61"/>
    <w:rsid w:val="00010086"/>
    <w:rsid w:val="00010B06"/>
    <w:rsid w:val="000112A0"/>
    <w:rsid w:val="00011C85"/>
    <w:rsid w:val="00012334"/>
    <w:rsid w:val="00014021"/>
    <w:rsid w:val="00014B38"/>
    <w:rsid w:val="00021CBF"/>
    <w:rsid w:val="00023669"/>
    <w:rsid w:val="000238F0"/>
    <w:rsid w:val="0002414A"/>
    <w:rsid w:val="000248F2"/>
    <w:rsid w:val="00025D6B"/>
    <w:rsid w:val="000264F8"/>
    <w:rsid w:val="00027AC2"/>
    <w:rsid w:val="00031225"/>
    <w:rsid w:val="00031F59"/>
    <w:rsid w:val="00031FCF"/>
    <w:rsid w:val="0003260A"/>
    <w:rsid w:val="00033D6A"/>
    <w:rsid w:val="00034042"/>
    <w:rsid w:val="0003447E"/>
    <w:rsid w:val="00035C54"/>
    <w:rsid w:val="00036CFF"/>
    <w:rsid w:val="00036FD5"/>
    <w:rsid w:val="00041FE7"/>
    <w:rsid w:val="00042CD7"/>
    <w:rsid w:val="00042DC3"/>
    <w:rsid w:val="00042E81"/>
    <w:rsid w:val="000436DD"/>
    <w:rsid w:val="0004598E"/>
    <w:rsid w:val="0004626A"/>
    <w:rsid w:val="000468EF"/>
    <w:rsid w:val="0004772F"/>
    <w:rsid w:val="0005203D"/>
    <w:rsid w:val="00052A31"/>
    <w:rsid w:val="000559D4"/>
    <w:rsid w:val="00055D17"/>
    <w:rsid w:val="000560E2"/>
    <w:rsid w:val="000565FB"/>
    <w:rsid w:val="00057287"/>
    <w:rsid w:val="0005793C"/>
    <w:rsid w:val="00063509"/>
    <w:rsid w:val="00063E81"/>
    <w:rsid w:val="000646A9"/>
    <w:rsid w:val="00064E7C"/>
    <w:rsid w:val="000664C5"/>
    <w:rsid w:val="00067357"/>
    <w:rsid w:val="00070934"/>
    <w:rsid w:val="00071A84"/>
    <w:rsid w:val="00073918"/>
    <w:rsid w:val="00073BEC"/>
    <w:rsid w:val="00073F01"/>
    <w:rsid w:val="00074736"/>
    <w:rsid w:val="00074DC9"/>
    <w:rsid w:val="0007703F"/>
    <w:rsid w:val="00080AFE"/>
    <w:rsid w:val="00081D4B"/>
    <w:rsid w:val="000825FA"/>
    <w:rsid w:val="0008445B"/>
    <w:rsid w:val="00084661"/>
    <w:rsid w:val="0008525F"/>
    <w:rsid w:val="00085EBA"/>
    <w:rsid w:val="00087620"/>
    <w:rsid w:val="00090684"/>
    <w:rsid w:val="00091675"/>
    <w:rsid w:val="00091AC3"/>
    <w:rsid w:val="00091AEE"/>
    <w:rsid w:val="00093DDE"/>
    <w:rsid w:val="00094493"/>
    <w:rsid w:val="00095389"/>
    <w:rsid w:val="00097D7B"/>
    <w:rsid w:val="000A041A"/>
    <w:rsid w:val="000A14D0"/>
    <w:rsid w:val="000A1BEE"/>
    <w:rsid w:val="000A36D0"/>
    <w:rsid w:val="000A5691"/>
    <w:rsid w:val="000A6109"/>
    <w:rsid w:val="000A691C"/>
    <w:rsid w:val="000A7CF1"/>
    <w:rsid w:val="000B0B6C"/>
    <w:rsid w:val="000B245A"/>
    <w:rsid w:val="000B2A83"/>
    <w:rsid w:val="000B2D4B"/>
    <w:rsid w:val="000B302C"/>
    <w:rsid w:val="000B372E"/>
    <w:rsid w:val="000B3914"/>
    <w:rsid w:val="000B442B"/>
    <w:rsid w:val="000B64F7"/>
    <w:rsid w:val="000B6ED4"/>
    <w:rsid w:val="000B6F9A"/>
    <w:rsid w:val="000B7DED"/>
    <w:rsid w:val="000C0D9C"/>
    <w:rsid w:val="000C2133"/>
    <w:rsid w:val="000C291F"/>
    <w:rsid w:val="000C4919"/>
    <w:rsid w:val="000C6932"/>
    <w:rsid w:val="000C766D"/>
    <w:rsid w:val="000D093F"/>
    <w:rsid w:val="000D158D"/>
    <w:rsid w:val="000D1618"/>
    <w:rsid w:val="000D31B2"/>
    <w:rsid w:val="000D3F8D"/>
    <w:rsid w:val="000D4FDB"/>
    <w:rsid w:val="000D5825"/>
    <w:rsid w:val="000D58ED"/>
    <w:rsid w:val="000D5A21"/>
    <w:rsid w:val="000D6B49"/>
    <w:rsid w:val="000E192B"/>
    <w:rsid w:val="000E2D6E"/>
    <w:rsid w:val="000E489A"/>
    <w:rsid w:val="000E7716"/>
    <w:rsid w:val="000F0244"/>
    <w:rsid w:val="000F0C3B"/>
    <w:rsid w:val="000F0F67"/>
    <w:rsid w:val="000F2AC0"/>
    <w:rsid w:val="000F337A"/>
    <w:rsid w:val="000F341D"/>
    <w:rsid w:val="000F4530"/>
    <w:rsid w:val="000F59AB"/>
    <w:rsid w:val="000F5D5D"/>
    <w:rsid w:val="000F6A37"/>
    <w:rsid w:val="00101369"/>
    <w:rsid w:val="001017A7"/>
    <w:rsid w:val="00102DEF"/>
    <w:rsid w:val="00106ADD"/>
    <w:rsid w:val="00106C3F"/>
    <w:rsid w:val="001074C6"/>
    <w:rsid w:val="00111227"/>
    <w:rsid w:val="0011268B"/>
    <w:rsid w:val="00112A63"/>
    <w:rsid w:val="00114599"/>
    <w:rsid w:val="00114946"/>
    <w:rsid w:val="001164C2"/>
    <w:rsid w:val="00116F54"/>
    <w:rsid w:val="00123E1B"/>
    <w:rsid w:val="00125425"/>
    <w:rsid w:val="00125CEE"/>
    <w:rsid w:val="00126156"/>
    <w:rsid w:val="00126BE3"/>
    <w:rsid w:val="00126E88"/>
    <w:rsid w:val="00127B93"/>
    <w:rsid w:val="00127F86"/>
    <w:rsid w:val="00130631"/>
    <w:rsid w:val="00131057"/>
    <w:rsid w:val="001311E6"/>
    <w:rsid w:val="001314D4"/>
    <w:rsid w:val="00134C94"/>
    <w:rsid w:val="00136269"/>
    <w:rsid w:val="00137460"/>
    <w:rsid w:val="00140A18"/>
    <w:rsid w:val="00141E1A"/>
    <w:rsid w:val="00142FBF"/>
    <w:rsid w:val="0014457D"/>
    <w:rsid w:val="00144817"/>
    <w:rsid w:val="00144A17"/>
    <w:rsid w:val="00145D6C"/>
    <w:rsid w:val="00151794"/>
    <w:rsid w:val="00151927"/>
    <w:rsid w:val="001522C6"/>
    <w:rsid w:val="00152994"/>
    <w:rsid w:val="00152A48"/>
    <w:rsid w:val="001551C3"/>
    <w:rsid w:val="00155E34"/>
    <w:rsid w:val="001564AC"/>
    <w:rsid w:val="001600AC"/>
    <w:rsid w:val="00160118"/>
    <w:rsid w:val="001626FD"/>
    <w:rsid w:val="00164394"/>
    <w:rsid w:val="001654C7"/>
    <w:rsid w:val="00165DF7"/>
    <w:rsid w:val="00172A27"/>
    <w:rsid w:val="00174B08"/>
    <w:rsid w:val="00176921"/>
    <w:rsid w:val="00180034"/>
    <w:rsid w:val="00180051"/>
    <w:rsid w:val="00180DB6"/>
    <w:rsid w:val="00183A42"/>
    <w:rsid w:val="001849B3"/>
    <w:rsid w:val="00184A90"/>
    <w:rsid w:val="00184F75"/>
    <w:rsid w:val="0018539D"/>
    <w:rsid w:val="00185867"/>
    <w:rsid w:val="00186FE1"/>
    <w:rsid w:val="00191E98"/>
    <w:rsid w:val="001927A5"/>
    <w:rsid w:val="001937BE"/>
    <w:rsid w:val="001943C1"/>
    <w:rsid w:val="00195C0F"/>
    <w:rsid w:val="00195E27"/>
    <w:rsid w:val="001967BE"/>
    <w:rsid w:val="0019731E"/>
    <w:rsid w:val="001A2489"/>
    <w:rsid w:val="001A27AB"/>
    <w:rsid w:val="001A2B45"/>
    <w:rsid w:val="001A4864"/>
    <w:rsid w:val="001B123C"/>
    <w:rsid w:val="001B3246"/>
    <w:rsid w:val="001B4824"/>
    <w:rsid w:val="001B5118"/>
    <w:rsid w:val="001B5B18"/>
    <w:rsid w:val="001B72F2"/>
    <w:rsid w:val="001B79F3"/>
    <w:rsid w:val="001C048A"/>
    <w:rsid w:val="001C21DC"/>
    <w:rsid w:val="001C5FAF"/>
    <w:rsid w:val="001C73F4"/>
    <w:rsid w:val="001D0074"/>
    <w:rsid w:val="001D3D8F"/>
    <w:rsid w:val="001D4CA6"/>
    <w:rsid w:val="001D4DCD"/>
    <w:rsid w:val="001D5482"/>
    <w:rsid w:val="001D68B8"/>
    <w:rsid w:val="001D6E5A"/>
    <w:rsid w:val="001D787E"/>
    <w:rsid w:val="001D7CD4"/>
    <w:rsid w:val="001E2E89"/>
    <w:rsid w:val="001E37D7"/>
    <w:rsid w:val="001E3957"/>
    <w:rsid w:val="001E4138"/>
    <w:rsid w:val="001E490F"/>
    <w:rsid w:val="001E4B0D"/>
    <w:rsid w:val="001E511E"/>
    <w:rsid w:val="001E6E01"/>
    <w:rsid w:val="001F0585"/>
    <w:rsid w:val="001F13C4"/>
    <w:rsid w:val="001F1D9E"/>
    <w:rsid w:val="001F269B"/>
    <w:rsid w:val="001F58EB"/>
    <w:rsid w:val="001F691B"/>
    <w:rsid w:val="001F7078"/>
    <w:rsid w:val="001F70DF"/>
    <w:rsid w:val="001F7F34"/>
    <w:rsid w:val="00200A1B"/>
    <w:rsid w:val="0020174F"/>
    <w:rsid w:val="0020217A"/>
    <w:rsid w:val="00205BEE"/>
    <w:rsid w:val="00205FFD"/>
    <w:rsid w:val="00206820"/>
    <w:rsid w:val="00206F0C"/>
    <w:rsid w:val="00212E4A"/>
    <w:rsid w:val="00213B90"/>
    <w:rsid w:val="00213F19"/>
    <w:rsid w:val="00215263"/>
    <w:rsid w:val="00215BDE"/>
    <w:rsid w:val="0021620B"/>
    <w:rsid w:val="00217013"/>
    <w:rsid w:val="00217E8D"/>
    <w:rsid w:val="00217EC1"/>
    <w:rsid w:val="0022281A"/>
    <w:rsid w:val="00222A9E"/>
    <w:rsid w:val="00224CB4"/>
    <w:rsid w:val="00226D00"/>
    <w:rsid w:val="002275CB"/>
    <w:rsid w:val="00230BE1"/>
    <w:rsid w:val="0023108A"/>
    <w:rsid w:val="002315D7"/>
    <w:rsid w:val="00231A90"/>
    <w:rsid w:val="00231F1A"/>
    <w:rsid w:val="00232F5E"/>
    <w:rsid w:val="00234F4C"/>
    <w:rsid w:val="00235447"/>
    <w:rsid w:val="0023634E"/>
    <w:rsid w:val="002378AA"/>
    <w:rsid w:val="002404BA"/>
    <w:rsid w:val="002431B4"/>
    <w:rsid w:val="002450A9"/>
    <w:rsid w:val="00245761"/>
    <w:rsid w:val="0024725A"/>
    <w:rsid w:val="00251549"/>
    <w:rsid w:val="00251E82"/>
    <w:rsid w:val="002549AE"/>
    <w:rsid w:val="00254C36"/>
    <w:rsid w:val="00256F1C"/>
    <w:rsid w:val="0026289C"/>
    <w:rsid w:val="00263669"/>
    <w:rsid w:val="00263684"/>
    <w:rsid w:val="0026450E"/>
    <w:rsid w:val="00264B92"/>
    <w:rsid w:val="00265575"/>
    <w:rsid w:val="00266AFE"/>
    <w:rsid w:val="00267475"/>
    <w:rsid w:val="002678BE"/>
    <w:rsid w:val="0027225F"/>
    <w:rsid w:val="00273425"/>
    <w:rsid w:val="0027388E"/>
    <w:rsid w:val="002740D2"/>
    <w:rsid w:val="00274814"/>
    <w:rsid w:val="00274C06"/>
    <w:rsid w:val="002757ED"/>
    <w:rsid w:val="002764BA"/>
    <w:rsid w:val="00277E55"/>
    <w:rsid w:val="002803AB"/>
    <w:rsid w:val="0028142F"/>
    <w:rsid w:val="00281DFF"/>
    <w:rsid w:val="00282A4B"/>
    <w:rsid w:val="002836B4"/>
    <w:rsid w:val="00283F6E"/>
    <w:rsid w:val="00284F99"/>
    <w:rsid w:val="002860A6"/>
    <w:rsid w:val="00286B3B"/>
    <w:rsid w:val="0029157C"/>
    <w:rsid w:val="002926D4"/>
    <w:rsid w:val="0029287F"/>
    <w:rsid w:val="002937BE"/>
    <w:rsid w:val="00293DD0"/>
    <w:rsid w:val="00294E69"/>
    <w:rsid w:val="002963A6"/>
    <w:rsid w:val="00297B7C"/>
    <w:rsid w:val="002A0502"/>
    <w:rsid w:val="002A5D2D"/>
    <w:rsid w:val="002A666B"/>
    <w:rsid w:val="002A6F6E"/>
    <w:rsid w:val="002B08F7"/>
    <w:rsid w:val="002B0BC1"/>
    <w:rsid w:val="002B174E"/>
    <w:rsid w:val="002B299C"/>
    <w:rsid w:val="002B2BB3"/>
    <w:rsid w:val="002B538B"/>
    <w:rsid w:val="002B5EFF"/>
    <w:rsid w:val="002B7058"/>
    <w:rsid w:val="002C09DE"/>
    <w:rsid w:val="002C2118"/>
    <w:rsid w:val="002C3281"/>
    <w:rsid w:val="002C3B1A"/>
    <w:rsid w:val="002C436B"/>
    <w:rsid w:val="002C49BD"/>
    <w:rsid w:val="002C63AF"/>
    <w:rsid w:val="002C7B8D"/>
    <w:rsid w:val="002C7D26"/>
    <w:rsid w:val="002D00FF"/>
    <w:rsid w:val="002D032B"/>
    <w:rsid w:val="002D05F5"/>
    <w:rsid w:val="002D06B0"/>
    <w:rsid w:val="002D6064"/>
    <w:rsid w:val="002D668C"/>
    <w:rsid w:val="002E1D0E"/>
    <w:rsid w:val="002E4483"/>
    <w:rsid w:val="002E6D69"/>
    <w:rsid w:val="002F045E"/>
    <w:rsid w:val="002F1149"/>
    <w:rsid w:val="002F159A"/>
    <w:rsid w:val="002F15D3"/>
    <w:rsid w:val="002F2998"/>
    <w:rsid w:val="002F4E84"/>
    <w:rsid w:val="002F6E6B"/>
    <w:rsid w:val="00301F50"/>
    <w:rsid w:val="00302EB5"/>
    <w:rsid w:val="003036FC"/>
    <w:rsid w:val="0030487A"/>
    <w:rsid w:val="00306485"/>
    <w:rsid w:val="0031259E"/>
    <w:rsid w:val="0031293A"/>
    <w:rsid w:val="00313681"/>
    <w:rsid w:val="00313D4B"/>
    <w:rsid w:val="003148D9"/>
    <w:rsid w:val="00315901"/>
    <w:rsid w:val="00316DB4"/>
    <w:rsid w:val="0031790F"/>
    <w:rsid w:val="0032077B"/>
    <w:rsid w:val="00324469"/>
    <w:rsid w:val="00326312"/>
    <w:rsid w:val="003269CD"/>
    <w:rsid w:val="0032714C"/>
    <w:rsid w:val="00327815"/>
    <w:rsid w:val="00331502"/>
    <w:rsid w:val="003316CA"/>
    <w:rsid w:val="00333699"/>
    <w:rsid w:val="003336AF"/>
    <w:rsid w:val="0033468E"/>
    <w:rsid w:val="00334C62"/>
    <w:rsid w:val="00337973"/>
    <w:rsid w:val="0034000D"/>
    <w:rsid w:val="00340508"/>
    <w:rsid w:val="00340F8D"/>
    <w:rsid w:val="00341A8B"/>
    <w:rsid w:val="00342959"/>
    <w:rsid w:val="003429B3"/>
    <w:rsid w:val="00342E15"/>
    <w:rsid w:val="00342E7E"/>
    <w:rsid w:val="003472C8"/>
    <w:rsid w:val="00347694"/>
    <w:rsid w:val="003531D7"/>
    <w:rsid w:val="00354001"/>
    <w:rsid w:val="00355797"/>
    <w:rsid w:val="0035693D"/>
    <w:rsid w:val="00357DD3"/>
    <w:rsid w:val="00360B8D"/>
    <w:rsid w:val="00360BC2"/>
    <w:rsid w:val="00361151"/>
    <w:rsid w:val="003635F8"/>
    <w:rsid w:val="003639B5"/>
    <w:rsid w:val="0036453C"/>
    <w:rsid w:val="003665CD"/>
    <w:rsid w:val="00366ED1"/>
    <w:rsid w:val="00367F24"/>
    <w:rsid w:val="00370A8E"/>
    <w:rsid w:val="0037560B"/>
    <w:rsid w:val="00375943"/>
    <w:rsid w:val="003764DB"/>
    <w:rsid w:val="003765D1"/>
    <w:rsid w:val="0037702B"/>
    <w:rsid w:val="00377750"/>
    <w:rsid w:val="00380409"/>
    <w:rsid w:val="00381423"/>
    <w:rsid w:val="00384507"/>
    <w:rsid w:val="00385016"/>
    <w:rsid w:val="00385A3A"/>
    <w:rsid w:val="0038748D"/>
    <w:rsid w:val="00391221"/>
    <w:rsid w:val="003945D1"/>
    <w:rsid w:val="0039679D"/>
    <w:rsid w:val="00396FA0"/>
    <w:rsid w:val="003977E5"/>
    <w:rsid w:val="003A03BC"/>
    <w:rsid w:val="003A089A"/>
    <w:rsid w:val="003A1A36"/>
    <w:rsid w:val="003A1C04"/>
    <w:rsid w:val="003A2C3D"/>
    <w:rsid w:val="003A4E43"/>
    <w:rsid w:val="003A5BB0"/>
    <w:rsid w:val="003A61DA"/>
    <w:rsid w:val="003A7419"/>
    <w:rsid w:val="003B03BA"/>
    <w:rsid w:val="003B2E00"/>
    <w:rsid w:val="003B3B37"/>
    <w:rsid w:val="003B4BFB"/>
    <w:rsid w:val="003B58E0"/>
    <w:rsid w:val="003B5BE1"/>
    <w:rsid w:val="003B7836"/>
    <w:rsid w:val="003B7A52"/>
    <w:rsid w:val="003C1DE5"/>
    <w:rsid w:val="003C2944"/>
    <w:rsid w:val="003C3311"/>
    <w:rsid w:val="003C508F"/>
    <w:rsid w:val="003C5405"/>
    <w:rsid w:val="003C616A"/>
    <w:rsid w:val="003C6EEA"/>
    <w:rsid w:val="003D0D3A"/>
    <w:rsid w:val="003D3865"/>
    <w:rsid w:val="003D61FE"/>
    <w:rsid w:val="003D6EC0"/>
    <w:rsid w:val="003E0896"/>
    <w:rsid w:val="003E10C4"/>
    <w:rsid w:val="003E1256"/>
    <w:rsid w:val="003E1CFA"/>
    <w:rsid w:val="003E381C"/>
    <w:rsid w:val="003E4030"/>
    <w:rsid w:val="003E52CB"/>
    <w:rsid w:val="003E5E32"/>
    <w:rsid w:val="003E6E77"/>
    <w:rsid w:val="003E71D0"/>
    <w:rsid w:val="003F0686"/>
    <w:rsid w:val="003F0B31"/>
    <w:rsid w:val="003F4743"/>
    <w:rsid w:val="003F49A3"/>
    <w:rsid w:val="003F7818"/>
    <w:rsid w:val="004001F4"/>
    <w:rsid w:val="004012AE"/>
    <w:rsid w:val="00402249"/>
    <w:rsid w:val="00402BC9"/>
    <w:rsid w:val="00407B75"/>
    <w:rsid w:val="004101BE"/>
    <w:rsid w:val="0041031B"/>
    <w:rsid w:val="0041227A"/>
    <w:rsid w:val="00412D84"/>
    <w:rsid w:val="00412F00"/>
    <w:rsid w:val="00421EA3"/>
    <w:rsid w:val="00423235"/>
    <w:rsid w:val="0042323C"/>
    <w:rsid w:val="00426127"/>
    <w:rsid w:val="00426E81"/>
    <w:rsid w:val="00427DAD"/>
    <w:rsid w:val="004313CD"/>
    <w:rsid w:val="00431B70"/>
    <w:rsid w:val="00431E5B"/>
    <w:rsid w:val="004321A4"/>
    <w:rsid w:val="004322A2"/>
    <w:rsid w:val="00433780"/>
    <w:rsid w:val="0043442D"/>
    <w:rsid w:val="00437C90"/>
    <w:rsid w:val="004410CC"/>
    <w:rsid w:val="00441900"/>
    <w:rsid w:val="004475B0"/>
    <w:rsid w:val="004526CC"/>
    <w:rsid w:val="0045348E"/>
    <w:rsid w:val="00455177"/>
    <w:rsid w:val="0045613A"/>
    <w:rsid w:val="0046025F"/>
    <w:rsid w:val="00462FC2"/>
    <w:rsid w:val="004652A8"/>
    <w:rsid w:val="00465523"/>
    <w:rsid w:val="004668E8"/>
    <w:rsid w:val="004710DE"/>
    <w:rsid w:val="00472070"/>
    <w:rsid w:val="00474259"/>
    <w:rsid w:val="00477543"/>
    <w:rsid w:val="004802D7"/>
    <w:rsid w:val="00480EAE"/>
    <w:rsid w:val="00482743"/>
    <w:rsid w:val="00483390"/>
    <w:rsid w:val="0048742F"/>
    <w:rsid w:val="00487CB8"/>
    <w:rsid w:val="00490F13"/>
    <w:rsid w:val="00493924"/>
    <w:rsid w:val="0049436E"/>
    <w:rsid w:val="00494423"/>
    <w:rsid w:val="0049516A"/>
    <w:rsid w:val="00495B41"/>
    <w:rsid w:val="00495F25"/>
    <w:rsid w:val="00497C11"/>
    <w:rsid w:val="00497EFC"/>
    <w:rsid w:val="004A020C"/>
    <w:rsid w:val="004A2E5C"/>
    <w:rsid w:val="004A402D"/>
    <w:rsid w:val="004A5550"/>
    <w:rsid w:val="004A5C72"/>
    <w:rsid w:val="004A72C8"/>
    <w:rsid w:val="004B2924"/>
    <w:rsid w:val="004B6B50"/>
    <w:rsid w:val="004B73E0"/>
    <w:rsid w:val="004B741C"/>
    <w:rsid w:val="004B78D4"/>
    <w:rsid w:val="004C1D92"/>
    <w:rsid w:val="004C1E1E"/>
    <w:rsid w:val="004C2ECB"/>
    <w:rsid w:val="004C3092"/>
    <w:rsid w:val="004C40EA"/>
    <w:rsid w:val="004C4A54"/>
    <w:rsid w:val="004C6155"/>
    <w:rsid w:val="004C65CA"/>
    <w:rsid w:val="004D1B56"/>
    <w:rsid w:val="004D1BA1"/>
    <w:rsid w:val="004D201E"/>
    <w:rsid w:val="004D2977"/>
    <w:rsid w:val="004D50AE"/>
    <w:rsid w:val="004D7F31"/>
    <w:rsid w:val="004E1555"/>
    <w:rsid w:val="004E1E2F"/>
    <w:rsid w:val="004E3F7B"/>
    <w:rsid w:val="004E60CD"/>
    <w:rsid w:val="004E618E"/>
    <w:rsid w:val="004E63E2"/>
    <w:rsid w:val="004E73D0"/>
    <w:rsid w:val="004F391A"/>
    <w:rsid w:val="004F49E9"/>
    <w:rsid w:val="004F5533"/>
    <w:rsid w:val="004F56AA"/>
    <w:rsid w:val="004F591F"/>
    <w:rsid w:val="004F61E2"/>
    <w:rsid w:val="004F7175"/>
    <w:rsid w:val="004F7718"/>
    <w:rsid w:val="004F798F"/>
    <w:rsid w:val="0050018F"/>
    <w:rsid w:val="00502B86"/>
    <w:rsid w:val="00507BFE"/>
    <w:rsid w:val="005102FD"/>
    <w:rsid w:val="00510C57"/>
    <w:rsid w:val="00511EAF"/>
    <w:rsid w:val="005144B7"/>
    <w:rsid w:val="00517789"/>
    <w:rsid w:val="0052020F"/>
    <w:rsid w:val="005208CD"/>
    <w:rsid w:val="00520CA8"/>
    <w:rsid w:val="00523BDA"/>
    <w:rsid w:val="0052528C"/>
    <w:rsid w:val="0052546F"/>
    <w:rsid w:val="0052632C"/>
    <w:rsid w:val="00526745"/>
    <w:rsid w:val="00531046"/>
    <w:rsid w:val="00531EFC"/>
    <w:rsid w:val="00533983"/>
    <w:rsid w:val="00534C75"/>
    <w:rsid w:val="0053575C"/>
    <w:rsid w:val="0054028D"/>
    <w:rsid w:val="005414CC"/>
    <w:rsid w:val="0054167C"/>
    <w:rsid w:val="00544701"/>
    <w:rsid w:val="00544B90"/>
    <w:rsid w:val="005502E1"/>
    <w:rsid w:val="00551046"/>
    <w:rsid w:val="00554AA6"/>
    <w:rsid w:val="00554B7F"/>
    <w:rsid w:val="00555117"/>
    <w:rsid w:val="005565CA"/>
    <w:rsid w:val="005578A0"/>
    <w:rsid w:val="005619BE"/>
    <w:rsid w:val="00561B66"/>
    <w:rsid w:val="00562382"/>
    <w:rsid w:val="005626B7"/>
    <w:rsid w:val="00562811"/>
    <w:rsid w:val="00563DE5"/>
    <w:rsid w:val="00563F88"/>
    <w:rsid w:val="00566331"/>
    <w:rsid w:val="00571DCD"/>
    <w:rsid w:val="00576CDD"/>
    <w:rsid w:val="00576FCC"/>
    <w:rsid w:val="00580AA7"/>
    <w:rsid w:val="00583AD6"/>
    <w:rsid w:val="00584039"/>
    <w:rsid w:val="00584381"/>
    <w:rsid w:val="0058507E"/>
    <w:rsid w:val="00585667"/>
    <w:rsid w:val="00586EAD"/>
    <w:rsid w:val="00592077"/>
    <w:rsid w:val="005929FF"/>
    <w:rsid w:val="005954DB"/>
    <w:rsid w:val="00597F4B"/>
    <w:rsid w:val="005A11E9"/>
    <w:rsid w:val="005A3629"/>
    <w:rsid w:val="005A37DC"/>
    <w:rsid w:val="005A3AD8"/>
    <w:rsid w:val="005A40DE"/>
    <w:rsid w:val="005A4569"/>
    <w:rsid w:val="005A4D02"/>
    <w:rsid w:val="005B02D5"/>
    <w:rsid w:val="005B1E3D"/>
    <w:rsid w:val="005B288D"/>
    <w:rsid w:val="005B2E1B"/>
    <w:rsid w:val="005B3C8F"/>
    <w:rsid w:val="005B3F30"/>
    <w:rsid w:val="005B49B2"/>
    <w:rsid w:val="005B5F2D"/>
    <w:rsid w:val="005B7F0E"/>
    <w:rsid w:val="005C2CD9"/>
    <w:rsid w:val="005C371D"/>
    <w:rsid w:val="005C4418"/>
    <w:rsid w:val="005C45BE"/>
    <w:rsid w:val="005C6B89"/>
    <w:rsid w:val="005D21B9"/>
    <w:rsid w:val="005D316F"/>
    <w:rsid w:val="005D3B92"/>
    <w:rsid w:val="005D49D0"/>
    <w:rsid w:val="005D5D79"/>
    <w:rsid w:val="005D7F78"/>
    <w:rsid w:val="005E0546"/>
    <w:rsid w:val="005E3729"/>
    <w:rsid w:val="005E4C02"/>
    <w:rsid w:val="005E58B7"/>
    <w:rsid w:val="005E6A4A"/>
    <w:rsid w:val="005F34B8"/>
    <w:rsid w:val="005F69BA"/>
    <w:rsid w:val="005F7597"/>
    <w:rsid w:val="0060066D"/>
    <w:rsid w:val="00602B46"/>
    <w:rsid w:val="00603B74"/>
    <w:rsid w:val="00604024"/>
    <w:rsid w:val="00604206"/>
    <w:rsid w:val="00605978"/>
    <w:rsid w:val="00607AD0"/>
    <w:rsid w:val="00610BE8"/>
    <w:rsid w:val="00610E4C"/>
    <w:rsid w:val="00611771"/>
    <w:rsid w:val="00612086"/>
    <w:rsid w:val="006120C7"/>
    <w:rsid w:val="00613011"/>
    <w:rsid w:val="00613180"/>
    <w:rsid w:val="0061547E"/>
    <w:rsid w:val="006156E2"/>
    <w:rsid w:val="00615C2F"/>
    <w:rsid w:val="00617D0B"/>
    <w:rsid w:val="00623118"/>
    <w:rsid w:val="00627333"/>
    <w:rsid w:val="006316F3"/>
    <w:rsid w:val="0063665B"/>
    <w:rsid w:val="00640B3B"/>
    <w:rsid w:val="006423C1"/>
    <w:rsid w:val="00643510"/>
    <w:rsid w:val="006443BB"/>
    <w:rsid w:val="00645531"/>
    <w:rsid w:val="0064638E"/>
    <w:rsid w:val="00646AE3"/>
    <w:rsid w:val="00650609"/>
    <w:rsid w:val="006512C9"/>
    <w:rsid w:val="00652798"/>
    <w:rsid w:val="00653660"/>
    <w:rsid w:val="0065567B"/>
    <w:rsid w:val="00655766"/>
    <w:rsid w:val="00656C03"/>
    <w:rsid w:val="00656ECC"/>
    <w:rsid w:val="0065729D"/>
    <w:rsid w:val="00657BBE"/>
    <w:rsid w:val="0066129D"/>
    <w:rsid w:val="00662403"/>
    <w:rsid w:val="00662BB0"/>
    <w:rsid w:val="0066344D"/>
    <w:rsid w:val="0066650B"/>
    <w:rsid w:val="00667BA5"/>
    <w:rsid w:val="00670087"/>
    <w:rsid w:val="00672D74"/>
    <w:rsid w:val="00677219"/>
    <w:rsid w:val="0067780F"/>
    <w:rsid w:val="00680DB2"/>
    <w:rsid w:val="0068232C"/>
    <w:rsid w:val="006824BF"/>
    <w:rsid w:val="006831DB"/>
    <w:rsid w:val="00683638"/>
    <w:rsid w:val="006836E3"/>
    <w:rsid w:val="00684000"/>
    <w:rsid w:val="00684233"/>
    <w:rsid w:val="006872C6"/>
    <w:rsid w:val="006873F2"/>
    <w:rsid w:val="00692E93"/>
    <w:rsid w:val="00694262"/>
    <w:rsid w:val="0069591B"/>
    <w:rsid w:val="00695AFC"/>
    <w:rsid w:val="00696C29"/>
    <w:rsid w:val="00697DB5"/>
    <w:rsid w:val="006A0AEA"/>
    <w:rsid w:val="006A1DEE"/>
    <w:rsid w:val="006A2889"/>
    <w:rsid w:val="006A34D0"/>
    <w:rsid w:val="006A3C45"/>
    <w:rsid w:val="006A6658"/>
    <w:rsid w:val="006B1B7C"/>
    <w:rsid w:val="006B2F4F"/>
    <w:rsid w:val="006B624D"/>
    <w:rsid w:val="006B75E6"/>
    <w:rsid w:val="006C0137"/>
    <w:rsid w:val="006C094E"/>
    <w:rsid w:val="006C1290"/>
    <w:rsid w:val="006C2A4C"/>
    <w:rsid w:val="006C30FC"/>
    <w:rsid w:val="006C35AD"/>
    <w:rsid w:val="006C42A4"/>
    <w:rsid w:val="006C5058"/>
    <w:rsid w:val="006C5791"/>
    <w:rsid w:val="006C5821"/>
    <w:rsid w:val="006C5C78"/>
    <w:rsid w:val="006C5E62"/>
    <w:rsid w:val="006C6593"/>
    <w:rsid w:val="006D1CF7"/>
    <w:rsid w:val="006D34FD"/>
    <w:rsid w:val="006D72B7"/>
    <w:rsid w:val="006D7430"/>
    <w:rsid w:val="006D7451"/>
    <w:rsid w:val="006D7B18"/>
    <w:rsid w:val="006E048F"/>
    <w:rsid w:val="006E221B"/>
    <w:rsid w:val="006E31CC"/>
    <w:rsid w:val="006E4247"/>
    <w:rsid w:val="006E4FBF"/>
    <w:rsid w:val="006E65C2"/>
    <w:rsid w:val="006E770C"/>
    <w:rsid w:val="006E79CC"/>
    <w:rsid w:val="006F139C"/>
    <w:rsid w:val="006F19EC"/>
    <w:rsid w:val="006F1B3F"/>
    <w:rsid w:val="006F214F"/>
    <w:rsid w:val="006F3296"/>
    <w:rsid w:val="006F5580"/>
    <w:rsid w:val="006F6F6E"/>
    <w:rsid w:val="00700C4A"/>
    <w:rsid w:val="0070229C"/>
    <w:rsid w:val="00705894"/>
    <w:rsid w:val="00705E87"/>
    <w:rsid w:val="007069AF"/>
    <w:rsid w:val="00706B8E"/>
    <w:rsid w:val="0070719B"/>
    <w:rsid w:val="00707938"/>
    <w:rsid w:val="00710ABC"/>
    <w:rsid w:val="00712052"/>
    <w:rsid w:val="00712815"/>
    <w:rsid w:val="00712FA2"/>
    <w:rsid w:val="00715F68"/>
    <w:rsid w:val="007173C8"/>
    <w:rsid w:val="007175F9"/>
    <w:rsid w:val="00717C20"/>
    <w:rsid w:val="00721D98"/>
    <w:rsid w:val="00723762"/>
    <w:rsid w:val="00724223"/>
    <w:rsid w:val="00725440"/>
    <w:rsid w:val="0072589B"/>
    <w:rsid w:val="0072719D"/>
    <w:rsid w:val="00727478"/>
    <w:rsid w:val="00727823"/>
    <w:rsid w:val="007311AC"/>
    <w:rsid w:val="007319A1"/>
    <w:rsid w:val="007347D5"/>
    <w:rsid w:val="00735F4A"/>
    <w:rsid w:val="0073688A"/>
    <w:rsid w:val="00741598"/>
    <w:rsid w:val="00741C00"/>
    <w:rsid w:val="00742057"/>
    <w:rsid w:val="00742DED"/>
    <w:rsid w:val="00744B27"/>
    <w:rsid w:val="007455FD"/>
    <w:rsid w:val="00746164"/>
    <w:rsid w:val="00747486"/>
    <w:rsid w:val="007506BC"/>
    <w:rsid w:val="00750C4D"/>
    <w:rsid w:val="007510C6"/>
    <w:rsid w:val="00757082"/>
    <w:rsid w:val="00757B6D"/>
    <w:rsid w:val="007622E3"/>
    <w:rsid w:val="00762E8C"/>
    <w:rsid w:val="00762FEB"/>
    <w:rsid w:val="007648B8"/>
    <w:rsid w:val="007666AA"/>
    <w:rsid w:val="00767618"/>
    <w:rsid w:val="007721D0"/>
    <w:rsid w:val="007729F9"/>
    <w:rsid w:val="00772C4A"/>
    <w:rsid w:val="0077494E"/>
    <w:rsid w:val="00774EBC"/>
    <w:rsid w:val="00776ECE"/>
    <w:rsid w:val="007810EC"/>
    <w:rsid w:val="007826E2"/>
    <w:rsid w:val="00783AAF"/>
    <w:rsid w:val="00785CDD"/>
    <w:rsid w:val="00785D61"/>
    <w:rsid w:val="007863A7"/>
    <w:rsid w:val="00786EE0"/>
    <w:rsid w:val="007871A1"/>
    <w:rsid w:val="00787E59"/>
    <w:rsid w:val="007919B4"/>
    <w:rsid w:val="007926DA"/>
    <w:rsid w:val="00793CD5"/>
    <w:rsid w:val="00793FFF"/>
    <w:rsid w:val="007953EF"/>
    <w:rsid w:val="00795FC6"/>
    <w:rsid w:val="00797495"/>
    <w:rsid w:val="00797E2A"/>
    <w:rsid w:val="007A0E4D"/>
    <w:rsid w:val="007A1500"/>
    <w:rsid w:val="007A1E19"/>
    <w:rsid w:val="007A6D94"/>
    <w:rsid w:val="007A7C99"/>
    <w:rsid w:val="007B0251"/>
    <w:rsid w:val="007B0667"/>
    <w:rsid w:val="007B1533"/>
    <w:rsid w:val="007B5282"/>
    <w:rsid w:val="007B53A6"/>
    <w:rsid w:val="007B6012"/>
    <w:rsid w:val="007B6D08"/>
    <w:rsid w:val="007B7D7A"/>
    <w:rsid w:val="007C15F0"/>
    <w:rsid w:val="007C1C26"/>
    <w:rsid w:val="007C264F"/>
    <w:rsid w:val="007C3B31"/>
    <w:rsid w:val="007C48FA"/>
    <w:rsid w:val="007C52F6"/>
    <w:rsid w:val="007C7907"/>
    <w:rsid w:val="007D0146"/>
    <w:rsid w:val="007D0955"/>
    <w:rsid w:val="007D0C7C"/>
    <w:rsid w:val="007D222F"/>
    <w:rsid w:val="007D2F81"/>
    <w:rsid w:val="007D42D2"/>
    <w:rsid w:val="007D4AD8"/>
    <w:rsid w:val="007D63B0"/>
    <w:rsid w:val="007E31B1"/>
    <w:rsid w:val="007E7197"/>
    <w:rsid w:val="007E728C"/>
    <w:rsid w:val="007E730C"/>
    <w:rsid w:val="007E748E"/>
    <w:rsid w:val="007F0C05"/>
    <w:rsid w:val="007F1D9B"/>
    <w:rsid w:val="007F3CBC"/>
    <w:rsid w:val="007F4927"/>
    <w:rsid w:val="007F6580"/>
    <w:rsid w:val="007F71F1"/>
    <w:rsid w:val="00804E7D"/>
    <w:rsid w:val="00804F39"/>
    <w:rsid w:val="00804F75"/>
    <w:rsid w:val="00805171"/>
    <w:rsid w:val="00806311"/>
    <w:rsid w:val="00806DF5"/>
    <w:rsid w:val="00807412"/>
    <w:rsid w:val="00807B2D"/>
    <w:rsid w:val="00811F4C"/>
    <w:rsid w:val="00812565"/>
    <w:rsid w:val="0081310C"/>
    <w:rsid w:val="0081472B"/>
    <w:rsid w:val="00815134"/>
    <w:rsid w:val="00815826"/>
    <w:rsid w:val="00815B83"/>
    <w:rsid w:val="00815FC2"/>
    <w:rsid w:val="008162D6"/>
    <w:rsid w:val="008174D9"/>
    <w:rsid w:val="008176A4"/>
    <w:rsid w:val="00817EEE"/>
    <w:rsid w:val="00820B5B"/>
    <w:rsid w:val="00820EDA"/>
    <w:rsid w:val="00821297"/>
    <w:rsid w:val="00822488"/>
    <w:rsid w:val="00822730"/>
    <w:rsid w:val="0082279F"/>
    <w:rsid w:val="00826CC1"/>
    <w:rsid w:val="00827259"/>
    <w:rsid w:val="008309CF"/>
    <w:rsid w:val="008310B8"/>
    <w:rsid w:val="0083298E"/>
    <w:rsid w:val="00833FD9"/>
    <w:rsid w:val="00836127"/>
    <w:rsid w:val="008362F5"/>
    <w:rsid w:val="00836D73"/>
    <w:rsid w:val="008372F8"/>
    <w:rsid w:val="008411A5"/>
    <w:rsid w:val="0084199E"/>
    <w:rsid w:val="00842D63"/>
    <w:rsid w:val="0084376D"/>
    <w:rsid w:val="00844801"/>
    <w:rsid w:val="0084513C"/>
    <w:rsid w:val="00845D31"/>
    <w:rsid w:val="008467C9"/>
    <w:rsid w:val="00850A2A"/>
    <w:rsid w:val="0085212E"/>
    <w:rsid w:val="008532CB"/>
    <w:rsid w:val="008532D0"/>
    <w:rsid w:val="008543F8"/>
    <w:rsid w:val="008550EC"/>
    <w:rsid w:val="00861AE0"/>
    <w:rsid w:val="00861B47"/>
    <w:rsid w:val="00863AEA"/>
    <w:rsid w:val="00864DED"/>
    <w:rsid w:val="00866CA6"/>
    <w:rsid w:val="00871F41"/>
    <w:rsid w:val="008742EF"/>
    <w:rsid w:val="0087439A"/>
    <w:rsid w:val="008750E8"/>
    <w:rsid w:val="00876B7D"/>
    <w:rsid w:val="00876E7C"/>
    <w:rsid w:val="00877340"/>
    <w:rsid w:val="00877644"/>
    <w:rsid w:val="0087783E"/>
    <w:rsid w:val="008811FA"/>
    <w:rsid w:val="0088342D"/>
    <w:rsid w:val="00884217"/>
    <w:rsid w:val="008842CD"/>
    <w:rsid w:val="00884FE4"/>
    <w:rsid w:val="00886E70"/>
    <w:rsid w:val="00890CA1"/>
    <w:rsid w:val="00891B80"/>
    <w:rsid w:val="008A0943"/>
    <w:rsid w:val="008A37AA"/>
    <w:rsid w:val="008A3F63"/>
    <w:rsid w:val="008A43E5"/>
    <w:rsid w:val="008A51D2"/>
    <w:rsid w:val="008B159D"/>
    <w:rsid w:val="008B17BA"/>
    <w:rsid w:val="008B2C10"/>
    <w:rsid w:val="008B5F5E"/>
    <w:rsid w:val="008B7232"/>
    <w:rsid w:val="008B794D"/>
    <w:rsid w:val="008C0650"/>
    <w:rsid w:val="008C1B25"/>
    <w:rsid w:val="008C2C13"/>
    <w:rsid w:val="008C41AF"/>
    <w:rsid w:val="008C6FBC"/>
    <w:rsid w:val="008C7642"/>
    <w:rsid w:val="008C7FA5"/>
    <w:rsid w:val="008D13AD"/>
    <w:rsid w:val="008D16E8"/>
    <w:rsid w:val="008D17DF"/>
    <w:rsid w:val="008D5FAD"/>
    <w:rsid w:val="008E1E60"/>
    <w:rsid w:val="008E6264"/>
    <w:rsid w:val="008E7FDD"/>
    <w:rsid w:val="008F2619"/>
    <w:rsid w:val="008F3D61"/>
    <w:rsid w:val="008F3E50"/>
    <w:rsid w:val="008F62CF"/>
    <w:rsid w:val="008F6BD6"/>
    <w:rsid w:val="009044CF"/>
    <w:rsid w:val="0090475B"/>
    <w:rsid w:val="009064CB"/>
    <w:rsid w:val="00906B17"/>
    <w:rsid w:val="00907434"/>
    <w:rsid w:val="00912871"/>
    <w:rsid w:val="00913D44"/>
    <w:rsid w:val="0091509E"/>
    <w:rsid w:val="009152AE"/>
    <w:rsid w:val="0091634C"/>
    <w:rsid w:val="00920546"/>
    <w:rsid w:val="009206DC"/>
    <w:rsid w:val="00920ACC"/>
    <w:rsid w:val="00920CB8"/>
    <w:rsid w:val="009214F2"/>
    <w:rsid w:val="00922467"/>
    <w:rsid w:val="009229C5"/>
    <w:rsid w:val="00926015"/>
    <w:rsid w:val="0092698C"/>
    <w:rsid w:val="009300F1"/>
    <w:rsid w:val="00930623"/>
    <w:rsid w:val="0093096C"/>
    <w:rsid w:val="00931B47"/>
    <w:rsid w:val="009324E1"/>
    <w:rsid w:val="009334B5"/>
    <w:rsid w:val="00933509"/>
    <w:rsid w:val="009346D7"/>
    <w:rsid w:val="00935FEC"/>
    <w:rsid w:val="00936D55"/>
    <w:rsid w:val="00940896"/>
    <w:rsid w:val="00941409"/>
    <w:rsid w:val="00941CC2"/>
    <w:rsid w:val="00942FAE"/>
    <w:rsid w:val="00943861"/>
    <w:rsid w:val="009439F5"/>
    <w:rsid w:val="00943DEB"/>
    <w:rsid w:val="00951113"/>
    <w:rsid w:val="00951945"/>
    <w:rsid w:val="0095244D"/>
    <w:rsid w:val="00952D10"/>
    <w:rsid w:val="00953811"/>
    <w:rsid w:val="009544A7"/>
    <w:rsid w:val="00954730"/>
    <w:rsid w:val="00954B23"/>
    <w:rsid w:val="00956661"/>
    <w:rsid w:val="00956701"/>
    <w:rsid w:val="009578D8"/>
    <w:rsid w:val="0096007C"/>
    <w:rsid w:val="00960092"/>
    <w:rsid w:val="0096141A"/>
    <w:rsid w:val="00964E07"/>
    <w:rsid w:val="009652F3"/>
    <w:rsid w:val="00967B9F"/>
    <w:rsid w:val="00970753"/>
    <w:rsid w:val="00970C0F"/>
    <w:rsid w:val="00970DE6"/>
    <w:rsid w:val="00971144"/>
    <w:rsid w:val="00971AFF"/>
    <w:rsid w:val="0097202D"/>
    <w:rsid w:val="00973954"/>
    <w:rsid w:val="00973CD1"/>
    <w:rsid w:val="009745C3"/>
    <w:rsid w:val="009746C5"/>
    <w:rsid w:val="00974BAA"/>
    <w:rsid w:val="00977504"/>
    <w:rsid w:val="00980375"/>
    <w:rsid w:val="009838DB"/>
    <w:rsid w:val="00986366"/>
    <w:rsid w:val="00987215"/>
    <w:rsid w:val="00987A10"/>
    <w:rsid w:val="0099275B"/>
    <w:rsid w:val="009956AA"/>
    <w:rsid w:val="0099589A"/>
    <w:rsid w:val="00997705"/>
    <w:rsid w:val="009A03FA"/>
    <w:rsid w:val="009A0792"/>
    <w:rsid w:val="009A0A01"/>
    <w:rsid w:val="009A1045"/>
    <w:rsid w:val="009A126E"/>
    <w:rsid w:val="009A215C"/>
    <w:rsid w:val="009A36C1"/>
    <w:rsid w:val="009A58C2"/>
    <w:rsid w:val="009A6CEF"/>
    <w:rsid w:val="009A7D18"/>
    <w:rsid w:val="009B2246"/>
    <w:rsid w:val="009B2D32"/>
    <w:rsid w:val="009B46FD"/>
    <w:rsid w:val="009B4B1E"/>
    <w:rsid w:val="009B798F"/>
    <w:rsid w:val="009C1B85"/>
    <w:rsid w:val="009C1C26"/>
    <w:rsid w:val="009C4315"/>
    <w:rsid w:val="009C4EF1"/>
    <w:rsid w:val="009C50E2"/>
    <w:rsid w:val="009C5612"/>
    <w:rsid w:val="009C720A"/>
    <w:rsid w:val="009C7366"/>
    <w:rsid w:val="009D076C"/>
    <w:rsid w:val="009D1A25"/>
    <w:rsid w:val="009D1FDE"/>
    <w:rsid w:val="009D3F4B"/>
    <w:rsid w:val="009D4C27"/>
    <w:rsid w:val="009D513C"/>
    <w:rsid w:val="009D59E3"/>
    <w:rsid w:val="009E2391"/>
    <w:rsid w:val="009E37BB"/>
    <w:rsid w:val="009E4C95"/>
    <w:rsid w:val="009E5AEB"/>
    <w:rsid w:val="009F0E53"/>
    <w:rsid w:val="009F2151"/>
    <w:rsid w:val="009F2195"/>
    <w:rsid w:val="009F2E8B"/>
    <w:rsid w:val="009F37A7"/>
    <w:rsid w:val="00A00681"/>
    <w:rsid w:val="00A02560"/>
    <w:rsid w:val="00A04015"/>
    <w:rsid w:val="00A11039"/>
    <w:rsid w:val="00A136EB"/>
    <w:rsid w:val="00A14BBC"/>
    <w:rsid w:val="00A1538C"/>
    <w:rsid w:val="00A1755A"/>
    <w:rsid w:val="00A177F7"/>
    <w:rsid w:val="00A235F3"/>
    <w:rsid w:val="00A23659"/>
    <w:rsid w:val="00A23D8C"/>
    <w:rsid w:val="00A24F0C"/>
    <w:rsid w:val="00A24F7F"/>
    <w:rsid w:val="00A25433"/>
    <w:rsid w:val="00A25764"/>
    <w:rsid w:val="00A26BA5"/>
    <w:rsid w:val="00A27250"/>
    <w:rsid w:val="00A27280"/>
    <w:rsid w:val="00A307DA"/>
    <w:rsid w:val="00A33338"/>
    <w:rsid w:val="00A36D4B"/>
    <w:rsid w:val="00A40B40"/>
    <w:rsid w:val="00A40C6A"/>
    <w:rsid w:val="00A4178B"/>
    <w:rsid w:val="00A43FAC"/>
    <w:rsid w:val="00A45F73"/>
    <w:rsid w:val="00A4600F"/>
    <w:rsid w:val="00A47940"/>
    <w:rsid w:val="00A501C5"/>
    <w:rsid w:val="00A50DC7"/>
    <w:rsid w:val="00A5474F"/>
    <w:rsid w:val="00A5685A"/>
    <w:rsid w:val="00A579C3"/>
    <w:rsid w:val="00A57CED"/>
    <w:rsid w:val="00A611A3"/>
    <w:rsid w:val="00A637F2"/>
    <w:rsid w:val="00A64E01"/>
    <w:rsid w:val="00A655F2"/>
    <w:rsid w:val="00A65B17"/>
    <w:rsid w:val="00A65DEE"/>
    <w:rsid w:val="00A6658A"/>
    <w:rsid w:val="00A6733B"/>
    <w:rsid w:val="00A7261D"/>
    <w:rsid w:val="00A73375"/>
    <w:rsid w:val="00A737F8"/>
    <w:rsid w:val="00A75711"/>
    <w:rsid w:val="00A818A9"/>
    <w:rsid w:val="00A82158"/>
    <w:rsid w:val="00A8354C"/>
    <w:rsid w:val="00A8509F"/>
    <w:rsid w:val="00A90FAF"/>
    <w:rsid w:val="00A945A7"/>
    <w:rsid w:val="00A94C42"/>
    <w:rsid w:val="00A97413"/>
    <w:rsid w:val="00AA0297"/>
    <w:rsid w:val="00AA11F9"/>
    <w:rsid w:val="00AA1D10"/>
    <w:rsid w:val="00AA3D7F"/>
    <w:rsid w:val="00AA41C5"/>
    <w:rsid w:val="00AA4DDF"/>
    <w:rsid w:val="00AA78C8"/>
    <w:rsid w:val="00AB13E4"/>
    <w:rsid w:val="00AB3683"/>
    <w:rsid w:val="00AB38E2"/>
    <w:rsid w:val="00AC0C15"/>
    <w:rsid w:val="00AC7E0F"/>
    <w:rsid w:val="00AC7F51"/>
    <w:rsid w:val="00AD0DC1"/>
    <w:rsid w:val="00AD1F75"/>
    <w:rsid w:val="00AD29EB"/>
    <w:rsid w:val="00AD331F"/>
    <w:rsid w:val="00AD39C9"/>
    <w:rsid w:val="00AD3A64"/>
    <w:rsid w:val="00AD4319"/>
    <w:rsid w:val="00AD7978"/>
    <w:rsid w:val="00AD7E83"/>
    <w:rsid w:val="00AE04DE"/>
    <w:rsid w:val="00AE0B96"/>
    <w:rsid w:val="00AE16A1"/>
    <w:rsid w:val="00AE2672"/>
    <w:rsid w:val="00AE32BB"/>
    <w:rsid w:val="00AE354B"/>
    <w:rsid w:val="00AE4E64"/>
    <w:rsid w:val="00AE68EF"/>
    <w:rsid w:val="00AE7D1D"/>
    <w:rsid w:val="00AE7E06"/>
    <w:rsid w:val="00AF120E"/>
    <w:rsid w:val="00AF1338"/>
    <w:rsid w:val="00AF16E6"/>
    <w:rsid w:val="00AF3084"/>
    <w:rsid w:val="00AF35DA"/>
    <w:rsid w:val="00AF4186"/>
    <w:rsid w:val="00AF576D"/>
    <w:rsid w:val="00AF5DBD"/>
    <w:rsid w:val="00AF612F"/>
    <w:rsid w:val="00AF6AFD"/>
    <w:rsid w:val="00AF75DC"/>
    <w:rsid w:val="00AF775D"/>
    <w:rsid w:val="00AF7D8E"/>
    <w:rsid w:val="00B00151"/>
    <w:rsid w:val="00B00EAC"/>
    <w:rsid w:val="00B03E5D"/>
    <w:rsid w:val="00B07FC5"/>
    <w:rsid w:val="00B11CB2"/>
    <w:rsid w:val="00B129B2"/>
    <w:rsid w:val="00B1504F"/>
    <w:rsid w:val="00B154D4"/>
    <w:rsid w:val="00B15505"/>
    <w:rsid w:val="00B16460"/>
    <w:rsid w:val="00B204E5"/>
    <w:rsid w:val="00B22EC5"/>
    <w:rsid w:val="00B279FB"/>
    <w:rsid w:val="00B31E97"/>
    <w:rsid w:val="00B32AC9"/>
    <w:rsid w:val="00B330E9"/>
    <w:rsid w:val="00B33541"/>
    <w:rsid w:val="00B348B1"/>
    <w:rsid w:val="00B348B9"/>
    <w:rsid w:val="00B34E1A"/>
    <w:rsid w:val="00B35E6F"/>
    <w:rsid w:val="00B3640C"/>
    <w:rsid w:val="00B365D4"/>
    <w:rsid w:val="00B37895"/>
    <w:rsid w:val="00B42B88"/>
    <w:rsid w:val="00B42CE6"/>
    <w:rsid w:val="00B456AA"/>
    <w:rsid w:val="00B4749A"/>
    <w:rsid w:val="00B51EF1"/>
    <w:rsid w:val="00B53CA6"/>
    <w:rsid w:val="00B53DE2"/>
    <w:rsid w:val="00B55480"/>
    <w:rsid w:val="00B55588"/>
    <w:rsid w:val="00B57F7B"/>
    <w:rsid w:val="00B600C7"/>
    <w:rsid w:val="00B64CFA"/>
    <w:rsid w:val="00B670E9"/>
    <w:rsid w:val="00B675AC"/>
    <w:rsid w:val="00B67AE3"/>
    <w:rsid w:val="00B7031D"/>
    <w:rsid w:val="00B71476"/>
    <w:rsid w:val="00B71D98"/>
    <w:rsid w:val="00B74964"/>
    <w:rsid w:val="00B76053"/>
    <w:rsid w:val="00B80620"/>
    <w:rsid w:val="00B8078B"/>
    <w:rsid w:val="00B83416"/>
    <w:rsid w:val="00B8474A"/>
    <w:rsid w:val="00B84CD3"/>
    <w:rsid w:val="00B85EA2"/>
    <w:rsid w:val="00B91650"/>
    <w:rsid w:val="00B91D44"/>
    <w:rsid w:val="00B93097"/>
    <w:rsid w:val="00B93C13"/>
    <w:rsid w:val="00B95146"/>
    <w:rsid w:val="00B95FFA"/>
    <w:rsid w:val="00B97381"/>
    <w:rsid w:val="00BA056D"/>
    <w:rsid w:val="00BA1CAD"/>
    <w:rsid w:val="00BA26ED"/>
    <w:rsid w:val="00BA3581"/>
    <w:rsid w:val="00BA55AC"/>
    <w:rsid w:val="00BA5905"/>
    <w:rsid w:val="00BA5BD5"/>
    <w:rsid w:val="00BA5EFE"/>
    <w:rsid w:val="00BA6202"/>
    <w:rsid w:val="00BA62FE"/>
    <w:rsid w:val="00BB02BF"/>
    <w:rsid w:val="00BB0F44"/>
    <w:rsid w:val="00BB1A53"/>
    <w:rsid w:val="00BB30F1"/>
    <w:rsid w:val="00BB412A"/>
    <w:rsid w:val="00BB6391"/>
    <w:rsid w:val="00BC2282"/>
    <w:rsid w:val="00BC48FF"/>
    <w:rsid w:val="00BC6737"/>
    <w:rsid w:val="00BC7A3D"/>
    <w:rsid w:val="00BD1F55"/>
    <w:rsid w:val="00BD2980"/>
    <w:rsid w:val="00BD3BB3"/>
    <w:rsid w:val="00BD4A6F"/>
    <w:rsid w:val="00BD5455"/>
    <w:rsid w:val="00BD6A9D"/>
    <w:rsid w:val="00BD6CCE"/>
    <w:rsid w:val="00BD708E"/>
    <w:rsid w:val="00BE02C0"/>
    <w:rsid w:val="00BE1AA6"/>
    <w:rsid w:val="00BE2907"/>
    <w:rsid w:val="00BE2CD6"/>
    <w:rsid w:val="00BE40A7"/>
    <w:rsid w:val="00BE4108"/>
    <w:rsid w:val="00BE6450"/>
    <w:rsid w:val="00BF0415"/>
    <w:rsid w:val="00BF15C4"/>
    <w:rsid w:val="00BF1AC0"/>
    <w:rsid w:val="00BF2058"/>
    <w:rsid w:val="00BF4BCB"/>
    <w:rsid w:val="00BF509C"/>
    <w:rsid w:val="00BF6996"/>
    <w:rsid w:val="00C008B4"/>
    <w:rsid w:val="00C00962"/>
    <w:rsid w:val="00C00F38"/>
    <w:rsid w:val="00C03362"/>
    <w:rsid w:val="00C03605"/>
    <w:rsid w:val="00C078EE"/>
    <w:rsid w:val="00C1037A"/>
    <w:rsid w:val="00C110C6"/>
    <w:rsid w:val="00C129C7"/>
    <w:rsid w:val="00C12AE6"/>
    <w:rsid w:val="00C12F92"/>
    <w:rsid w:val="00C14DBB"/>
    <w:rsid w:val="00C17E30"/>
    <w:rsid w:val="00C24260"/>
    <w:rsid w:val="00C242DD"/>
    <w:rsid w:val="00C24E5B"/>
    <w:rsid w:val="00C25330"/>
    <w:rsid w:val="00C255AF"/>
    <w:rsid w:val="00C264F0"/>
    <w:rsid w:val="00C310D8"/>
    <w:rsid w:val="00C32AEB"/>
    <w:rsid w:val="00C331DA"/>
    <w:rsid w:val="00C335FE"/>
    <w:rsid w:val="00C339B5"/>
    <w:rsid w:val="00C340AF"/>
    <w:rsid w:val="00C349CE"/>
    <w:rsid w:val="00C36B10"/>
    <w:rsid w:val="00C4172E"/>
    <w:rsid w:val="00C41745"/>
    <w:rsid w:val="00C421FD"/>
    <w:rsid w:val="00C42E3C"/>
    <w:rsid w:val="00C431CF"/>
    <w:rsid w:val="00C43253"/>
    <w:rsid w:val="00C45D90"/>
    <w:rsid w:val="00C46CE7"/>
    <w:rsid w:val="00C51571"/>
    <w:rsid w:val="00C5280F"/>
    <w:rsid w:val="00C52BA1"/>
    <w:rsid w:val="00C53A42"/>
    <w:rsid w:val="00C54504"/>
    <w:rsid w:val="00C55529"/>
    <w:rsid w:val="00C5589B"/>
    <w:rsid w:val="00C60BCB"/>
    <w:rsid w:val="00C61AE1"/>
    <w:rsid w:val="00C627A4"/>
    <w:rsid w:val="00C627DC"/>
    <w:rsid w:val="00C62902"/>
    <w:rsid w:val="00C634E2"/>
    <w:rsid w:val="00C671D9"/>
    <w:rsid w:val="00C70BE3"/>
    <w:rsid w:val="00C71B98"/>
    <w:rsid w:val="00C71CBD"/>
    <w:rsid w:val="00C72AA2"/>
    <w:rsid w:val="00C73041"/>
    <w:rsid w:val="00C735E5"/>
    <w:rsid w:val="00C77293"/>
    <w:rsid w:val="00C77C35"/>
    <w:rsid w:val="00C77E27"/>
    <w:rsid w:val="00C80EAA"/>
    <w:rsid w:val="00C810EB"/>
    <w:rsid w:val="00C84A6B"/>
    <w:rsid w:val="00C905B7"/>
    <w:rsid w:val="00C914A7"/>
    <w:rsid w:val="00C929F0"/>
    <w:rsid w:val="00C935D3"/>
    <w:rsid w:val="00C97C98"/>
    <w:rsid w:val="00CA3891"/>
    <w:rsid w:val="00CA3C4D"/>
    <w:rsid w:val="00CA4956"/>
    <w:rsid w:val="00CA5D8F"/>
    <w:rsid w:val="00CB1008"/>
    <w:rsid w:val="00CB113B"/>
    <w:rsid w:val="00CB1985"/>
    <w:rsid w:val="00CB2BDB"/>
    <w:rsid w:val="00CB53FA"/>
    <w:rsid w:val="00CB7C1D"/>
    <w:rsid w:val="00CC04DE"/>
    <w:rsid w:val="00CC21BA"/>
    <w:rsid w:val="00CC2D2E"/>
    <w:rsid w:val="00CC3B3F"/>
    <w:rsid w:val="00CC47F1"/>
    <w:rsid w:val="00CC5BD1"/>
    <w:rsid w:val="00CC63D9"/>
    <w:rsid w:val="00CC7572"/>
    <w:rsid w:val="00CC7BC6"/>
    <w:rsid w:val="00CD0D29"/>
    <w:rsid w:val="00CD2927"/>
    <w:rsid w:val="00CD3A86"/>
    <w:rsid w:val="00CD562F"/>
    <w:rsid w:val="00CD76A2"/>
    <w:rsid w:val="00CD76ED"/>
    <w:rsid w:val="00CE0548"/>
    <w:rsid w:val="00CE222A"/>
    <w:rsid w:val="00CE518D"/>
    <w:rsid w:val="00CE5706"/>
    <w:rsid w:val="00CE7BA9"/>
    <w:rsid w:val="00CF019D"/>
    <w:rsid w:val="00CF32B3"/>
    <w:rsid w:val="00CF3851"/>
    <w:rsid w:val="00CF3A5F"/>
    <w:rsid w:val="00CF5AEC"/>
    <w:rsid w:val="00CF65AE"/>
    <w:rsid w:val="00CF7F12"/>
    <w:rsid w:val="00D01711"/>
    <w:rsid w:val="00D0334E"/>
    <w:rsid w:val="00D038EB"/>
    <w:rsid w:val="00D05AF8"/>
    <w:rsid w:val="00D067C1"/>
    <w:rsid w:val="00D07F8E"/>
    <w:rsid w:val="00D11893"/>
    <w:rsid w:val="00D129B4"/>
    <w:rsid w:val="00D12BE6"/>
    <w:rsid w:val="00D135DE"/>
    <w:rsid w:val="00D14045"/>
    <w:rsid w:val="00D14BFB"/>
    <w:rsid w:val="00D168DA"/>
    <w:rsid w:val="00D17B3E"/>
    <w:rsid w:val="00D21D7C"/>
    <w:rsid w:val="00D226C6"/>
    <w:rsid w:val="00D25C6A"/>
    <w:rsid w:val="00D2618D"/>
    <w:rsid w:val="00D2650A"/>
    <w:rsid w:val="00D27418"/>
    <w:rsid w:val="00D274BB"/>
    <w:rsid w:val="00D304E1"/>
    <w:rsid w:val="00D33302"/>
    <w:rsid w:val="00D33496"/>
    <w:rsid w:val="00D33BF3"/>
    <w:rsid w:val="00D342EB"/>
    <w:rsid w:val="00D34753"/>
    <w:rsid w:val="00D34B79"/>
    <w:rsid w:val="00D36110"/>
    <w:rsid w:val="00D3665C"/>
    <w:rsid w:val="00D36D7C"/>
    <w:rsid w:val="00D3762B"/>
    <w:rsid w:val="00D424F7"/>
    <w:rsid w:val="00D426AB"/>
    <w:rsid w:val="00D44BA5"/>
    <w:rsid w:val="00D44C8C"/>
    <w:rsid w:val="00D454C4"/>
    <w:rsid w:val="00D53DAC"/>
    <w:rsid w:val="00D57530"/>
    <w:rsid w:val="00D57770"/>
    <w:rsid w:val="00D578A5"/>
    <w:rsid w:val="00D6051B"/>
    <w:rsid w:val="00D610D5"/>
    <w:rsid w:val="00D630DA"/>
    <w:rsid w:val="00D63CAC"/>
    <w:rsid w:val="00D65A20"/>
    <w:rsid w:val="00D702CE"/>
    <w:rsid w:val="00D71697"/>
    <w:rsid w:val="00D718FE"/>
    <w:rsid w:val="00D7276F"/>
    <w:rsid w:val="00D7292F"/>
    <w:rsid w:val="00D73DCB"/>
    <w:rsid w:val="00D73E70"/>
    <w:rsid w:val="00D74D0E"/>
    <w:rsid w:val="00D778E0"/>
    <w:rsid w:val="00D809A9"/>
    <w:rsid w:val="00D80AED"/>
    <w:rsid w:val="00D82C49"/>
    <w:rsid w:val="00D84A25"/>
    <w:rsid w:val="00D8730A"/>
    <w:rsid w:val="00D879AD"/>
    <w:rsid w:val="00D91F92"/>
    <w:rsid w:val="00D92F29"/>
    <w:rsid w:val="00D94778"/>
    <w:rsid w:val="00D96207"/>
    <w:rsid w:val="00DA04D5"/>
    <w:rsid w:val="00DA1128"/>
    <w:rsid w:val="00DA3A8F"/>
    <w:rsid w:val="00DA7886"/>
    <w:rsid w:val="00DB1767"/>
    <w:rsid w:val="00DB2824"/>
    <w:rsid w:val="00DB2AC0"/>
    <w:rsid w:val="00DB5681"/>
    <w:rsid w:val="00DB6B11"/>
    <w:rsid w:val="00DB75FF"/>
    <w:rsid w:val="00DC2A36"/>
    <w:rsid w:val="00DC3021"/>
    <w:rsid w:val="00DC3103"/>
    <w:rsid w:val="00DD10F7"/>
    <w:rsid w:val="00DD12EF"/>
    <w:rsid w:val="00DD27A5"/>
    <w:rsid w:val="00DD305F"/>
    <w:rsid w:val="00DD4D99"/>
    <w:rsid w:val="00DD6976"/>
    <w:rsid w:val="00DD6D29"/>
    <w:rsid w:val="00DE1058"/>
    <w:rsid w:val="00DE352D"/>
    <w:rsid w:val="00DE6906"/>
    <w:rsid w:val="00DE7F89"/>
    <w:rsid w:val="00DF24D3"/>
    <w:rsid w:val="00DF3750"/>
    <w:rsid w:val="00DF4F21"/>
    <w:rsid w:val="00DF6619"/>
    <w:rsid w:val="00DF72DB"/>
    <w:rsid w:val="00E00432"/>
    <w:rsid w:val="00E0393F"/>
    <w:rsid w:val="00E03F09"/>
    <w:rsid w:val="00E04AB7"/>
    <w:rsid w:val="00E04F9B"/>
    <w:rsid w:val="00E04FA7"/>
    <w:rsid w:val="00E104A1"/>
    <w:rsid w:val="00E12034"/>
    <w:rsid w:val="00E1210F"/>
    <w:rsid w:val="00E122DC"/>
    <w:rsid w:val="00E12F22"/>
    <w:rsid w:val="00E130BF"/>
    <w:rsid w:val="00E131F6"/>
    <w:rsid w:val="00E13353"/>
    <w:rsid w:val="00E1388B"/>
    <w:rsid w:val="00E1504D"/>
    <w:rsid w:val="00E20ED2"/>
    <w:rsid w:val="00E237E3"/>
    <w:rsid w:val="00E24B88"/>
    <w:rsid w:val="00E26CF3"/>
    <w:rsid w:val="00E27043"/>
    <w:rsid w:val="00E30629"/>
    <w:rsid w:val="00E309B4"/>
    <w:rsid w:val="00E32099"/>
    <w:rsid w:val="00E32750"/>
    <w:rsid w:val="00E32DF5"/>
    <w:rsid w:val="00E35CBC"/>
    <w:rsid w:val="00E36B57"/>
    <w:rsid w:val="00E443AF"/>
    <w:rsid w:val="00E47D89"/>
    <w:rsid w:val="00E50441"/>
    <w:rsid w:val="00E514B0"/>
    <w:rsid w:val="00E514DB"/>
    <w:rsid w:val="00E51953"/>
    <w:rsid w:val="00E52E75"/>
    <w:rsid w:val="00E54BB8"/>
    <w:rsid w:val="00E557C5"/>
    <w:rsid w:val="00E55BA4"/>
    <w:rsid w:val="00E5672E"/>
    <w:rsid w:val="00E573C5"/>
    <w:rsid w:val="00E578B8"/>
    <w:rsid w:val="00E62069"/>
    <w:rsid w:val="00E63634"/>
    <w:rsid w:val="00E63AA8"/>
    <w:rsid w:val="00E63C81"/>
    <w:rsid w:val="00E649DC"/>
    <w:rsid w:val="00E65133"/>
    <w:rsid w:val="00E66249"/>
    <w:rsid w:val="00E66CDE"/>
    <w:rsid w:val="00E66DFB"/>
    <w:rsid w:val="00E71B76"/>
    <w:rsid w:val="00E7421B"/>
    <w:rsid w:val="00E83392"/>
    <w:rsid w:val="00E86CD2"/>
    <w:rsid w:val="00E87E0C"/>
    <w:rsid w:val="00E91C8A"/>
    <w:rsid w:val="00E91D42"/>
    <w:rsid w:val="00E922A4"/>
    <w:rsid w:val="00E9233F"/>
    <w:rsid w:val="00E93337"/>
    <w:rsid w:val="00E963E2"/>
    <w:rsid w:val="00E975C5"/>
    <w:rsid w:val="00EA0FE0"/>
    <w:rsid w:val="00EA1798"/>
    <w:rsid w:val="00EA1961"/>
    <w:rsid w:val="00EA2738"/>
    <w:rsid w:val="00EA6C00"/>
    <w:rsid w:val="00EB2362"/>
    <w:rsid w:val="00EB3203"/>
    <w:rsid w:val="00EB5678"/>
    <w:rsid w:val="00EB5BEB"/>
    <w:rsid w:val="00EB63BD"/>
    <w:rsid w:val="00EB7D88"/>
    <w:rsid w:val="00EC2904"/>
    <w:rsid w:val="00EC3BB6"/>
    <w:rsid w:val="00EC4278"/>
    <w:rsid w:val="00EC4F86"/>
    <w:rsid w:val="00EC6EA3"/>
    <w:rsid w:val="00ED0588"/>
    <w:rsid w:val="00ED0C55"/>
    <w:rsid w:val="00ED0E53"/>
    <w:rsid w:val="00ED237D"/>
    <w:rsid w:val="00ED332C"/>
    <w:rsid w:val="00ED4120"/>
    <w:rsid w:val="00ED4445"/>
    <w:rsid w:val="00ED7C13"/>
    <w:rsid w:val="00EE2CC6"/>
    <w:rsid w:val="00EE3DEF"/>
    <w:rsid w:val="00EE53B6"/>
    <w:rsid w:val="00EE59E0"/>
    <w:rsid w:val="00EE74E3"/>
    <w:rsid w:val="00EF110F"/>
    <w:rsid w:val="00EF28CB"/>
    <w:rsid w:val="00EF4263"/>
    <w:rsid w:val="00EF594F"/>
    <w:rsid w:val="00EF612D"/>
    <w:rsid w:val="00F00DBD"/>
    <w:rsid w:val="00F01203"/>
    <w:rsid w:val="00F01DE9"/>
    <w:rsid w:val="00F02B2F"/>
    <w:rsid w:val="00F1109E"/>
    <w:rsid w:val="00F22AF9"/>
    <w:rsid w:val="00F24051"/>
    <w:rsid w:val="00F244BC"/>
    <w:rsid w:val="00F27361"/>
    <w:rsid w:val="00F27673"/>
    <w:rsid w:val="00F327E7"/>
    <w:rsid w:val="00F366B8"/>
    <w:rsid w:val="00F371FB"/>
    <w:rsid w:val="00F377F9"/>
    <w:rsid w:val="00F401F8"/>
    <w:rsid w:val="00F40F49"/>
    <w:rsid w:val="00F41231"/>
    <w:rsid w:val="00F41AC0"/>
    <w:rsid w:val="00F4362F"/>
    <w:rsid w:val="00F455BC"/>
    <w:rsid w:val="00F464CA"/>
    <w:rsid w:val="00F46FC1"/>
    <w:rsid w:val="00F50460"/>
    <w:rsid w:val="00F55E5B"/>
    <w:rsid w:val="00F56EA4"/>
    <w:rsid w:val="00F571CA"/>
    <w:rsid w:val="00F57CCA"/>
    <w:rsid w:val="00F6281E"/>
    <w:rsid w:val="00F629B0"/>
    <w:rsid w:val="00F62D8E"/>
    <w:rsid w:val="00F63ABC"/>
    <w:rsid w:val="00F63DD5"/>
    <w:rsid w:val="00F71794"/>
    <w:rsid w:val="00F71D49"/>
    <w:rsid w:val="00F723BB"/>
    <w:rsid w:val="00F73482"/>
    <w:rsid w:val="00F73A6E"/>
    <w:rsid w:val="00F758FE"/>
    <w:rsid w:val="00F80087"/>
    <w:rsid w:val="00F81BBB"/>
    <w:rsid w:val="00F82637"/>
    <w:rsid w:val="00F82E7D"/>
    <w:rsid w:val="00F848C9"/>
    <w:rsid w:val="00F86B35"/>
    <w:rsid w:val="00F879EF"/>
    <w:rsid w:val="00F91867"/>
    <w:rsid w:val="00F92BEC"/>
    <w:rsid w:val="00F95216"/>
    <w:rsid w:val="00F95DA2"/>
    <w:rsid w:val="00F97CD3"/>
    <w:rsid w:val="00FA097F"/>
    <w:rsid w:val="00FA0E33"/>
    <w:rsid w:val="00FA1C12"/>
    <w:rsid w:val="00FA5493"/>
    <w:rsid w:val="00FA73FC"/>
    <w:rsid w:val="00FB083F"/>
    <w:rsid w:val="00FB277D"/>
    <w:rsid w:val="00FB412B"/>
    <w:rsid w:val="00FB45E2"/>
    <w:rsid w:val="00FB700A"/>
    <w:rsid w:val="00FC005B"/>
    <w:rsid w:val="00FC00AB"/>
    <w:rsid w:val="00FC07E3"/>
    <w:rsid w:val="00FC08B9"/>
    <w:rsid w:val="00FC0D15"/>
    <w:rsid w:val="00FC0D70"/>
    <w:rsid w:val="00FC266B"/>
    <w:rsid w:val="00FC3774"/>
    <w:rsid w:val="00FC678E"/>
    <w:rsid w:val="00FC6A4A"/>
    <w:rsid w:val="00FC6F91"/>
    <w:rsid w:val="00FC77B2"/>
    <w:rsid w:val="00FD68A9"/>
    <w:rsid w:val="00FD7ACF"/>
    <w:rsid w:val="00FD7E8B"/>
    <w:rsid w:val="00FE2A77"/>
    <w:rsid w:val="00FE2C6D"/>
    <w:rsid w:val="00FE329A"/>
    <w:rsid w:val="00FE33D9"/>
    <w:rsid w:val="00FE3D40"/>
    <w:rsid w:val="00FE3F64"/>
    <w:rsid w:val="00FE5D0B"/>
    <w:rsid w:val="00FF16E0"/>
    <w:rsid w:val="00FF1A25"/>
    <w:rsid w:val="00FF2BD3"/>
    <w:rsid w:val="00FF337D"/>
    <w:rsid w:val="00FF5146"/>
    <w:rsid w:val="00FF724C"/>
    <w:rsid w:val="00FF72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f" stroke="f">
      <v:fill color="#9c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6B57"/>
    <w:pPr>
      <w:widowControl w:val="0"/>
      <w:ind w:firstLineChars="200" w:firstLine="200"/>
      <w:jc w:val="both"/>
    </w:pPr>
    <w:rPr>
      <w:rFonts w:eastAsia="华文细黑"/>
      <w:color w:val="333333"/>
      <w:kern w:val="2"/>
      <w:sz w:val="22"/>
      <w:szCs w:val="24"/>
    </w:rPr>
  </w:style>
  <w:style w:type="paragraph" w:styleId="1">
    <w:name w:val="heading 1"/>
    <w:basedOn w:val="a0"/>
    <w:next w:val="a0"/>
    <w:link w:val="1Char"/>
    <w:qFormat/>
    <w:rsid w:val="00E36B57"/>
    <w:pPr>
      <w:spacing w:beforeLines="100"/>
      <w:ind w:firstLine="721"/>
      <w:outlineLvl w:val="0"/>
    </w:pPr>
    <w:rPr>
      <w:b/>
      <w:color w:val="010281"/>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E36B57"/>
    <w:rPr>
      <w:rFonts w:ascii="楷体_GB2312"/>
      <w:b/>
      <w:color w:val="010281"/>
      <w:sz w:val="30"/>
      <w:szCs w:val="30"/>
    </w:rPr>
  </w:style>
  <w:style w:type="character" w:styleId="a5">
    <w:name w:val="FollowedHyperlink"/>
    <w:rsid w:val="00E36B57"/>
    <w:rPr>
      <w:color w:val="800080"/>
      <w:u w:val="single"/>
    </w:rPr>
  </w:style>
  <w:style w:type="character" w:styleId="a6">
    <w:name w:val="page number"/>
    <w:basedOn w:val="a1"/>
    <w:rsid w:val="00E36B57"/>
  </w:style>
  <w:style w:type="character" w:styleId="a7">
    <w:name w:val="Hyperlink"/>
    <w:rsid w:val="00E36B57"/>
    <w:rPr>
      <w:color w:val="0000FF"/>
      <w:u w:val="single"/>
    </w:rPr>
  </w:style>
  <w:style w:type="character" w:styleId="a8">
    <w:name w:val="Emphasis"/>
    <w:qFormat/>
    <w:rsid w:val="00E36B57"/>
    <w:rPr>
      <w:rFonts w:ascii="楷体_GB2312" w:eastAsia="华文细黑"/>
      <w:b/>
      <w:sz w:val="24"/>
    </w:rPr>
  </w:style>
  <w:style w:type="character" w:customStyle="1" w:styleId="CharChar">
    <w:name w:val="摘要 Char Char"/>
    <w:link w:val="a"/>
    <w:rsid w:val="00E36B57"/>
    <w:rPr>
      <w:rFonts w:ascii="楷体_GB2312" w:eastAsia="楷体"/>
      <w:kern w:val="2"/>
      <w:sz w:val="24"/>
      <w:szCs w:val="24"/>
    </w:rPr>
  </w:style>
  <w:style w:type="character" w:customStyle="1" w:styleId="CharChar0">
    <w:name w:val="图表头 Char Char"/>
    <w:link w:val="a9"/>
    <w:rsid w:val="00E36B57"/>
    <w:rPr>
      <w:rFonts w:eastAsia="华文细黑"/>
      <w:b/>
      <w:kern w:val="2"/>
      <w:sz w:val="21"/>
      <w:szCs w:val="21"/>
    </w:rPr>
  </w:style>
  <w:style w:type="character" w:customStyle="1" w:styleId="CharChar1">
    <w:name w:val="图表注 Char Char"/>
    <w:link w:val="aa"/>
    <w:rsid w:val="00E36B57"/>
    <w:rPr>
      <w:rFonts w:eastAsia="华文细黑"/>
      <w:kern w:val="2"/>
      <w:sz w:val="21"/>
      <w:szCs w:val="21"/>
    </w:rPr>
  </w:style>
  <w:style w:type="character" w:customStyle="1" w:styleId="Char">
    <w:name w:val="批注框文本 Char"/>
    <w:link w:val="ab"/>
    <w:rsid w:val="00E36B57"/>
    <w:rPr>
      <w:rFonts w:eastAsia="楷体"/>
      <w:kern w:val="2"/>
      <w:sz w:val="18"/>
      <w:szCs w:val="18"/>
    </w:rPr>
  </w:style>
  <w:style w:type="character" w:customStyle="1" w:styleId="Char0">
    <w:name w:val="标题 Char"/>
    <w:link w:val="ac"/>
    <w:rsid w:val="00E36B57"/>
    <w:rPr>
      <w:rFonts w:ascii="楷体_GB2312" w:eastAsia="华文细黑"/>
      <w:b/>
      <w:kern w:val="2"/>
      <w:sz w:val="44"/>
      <w:szCs w:val="44"/>
    </w:rPr>
  </w:style>
  <w:style w:type="character" w:customStyle="1" w:styleId="3CharChar">
    <w:name w:val="标题3 Char Char"/>
    <w:link w:val="3"/>
    <w:rsid w:val="00E36B57"/>
    <w:rPr>
      <w:rFonts w:eastAsia="华文细黑"/>
      <w:b/>
      <w:color w:val="000099"/>
      <w:kern w:val="2"/>
      <w:sz w:val="28"/>
      <w:szCs w:val="28"/>
    </w:rPr>
  </w:style>
  <w:style w:type="character" w:customStyle="1" w:styleId="10">
    <w:name w:val="标题1"/>
    <w:basedOn w:val="a1"/>
    <w:rsid w:val="00E36B57"/>
  </w:style>
  <w:style w:type="character" w:customStyle="1" w:styleId="2CharChar">
    <w:name w:val="标题2 Char Char"/>
    <w:link w:val="2"/>
    <w:rsid w:val="00E36B57"/>
    <w:rPr>
      <w:rFonts w:eastAsia="华文细黑"/>
      <w:b/>
      <w:color w:val="010281"/>
      <w:kern w:val="2"/>
      <w:sz w:val="30"/>
      <w:szCs w:val="30"/>
      <w:u w:val="single"/>
    </w:rPr>
  </w:style>
  <w:style w:type="character" w:customStyle="1" w:styleId="1Char">
    <w:name w:val="标题 1 Char"/>
    <w:link w:val="1"/>
    <w:rsid w:val="00E36B57"/>
    <w:rPr>
      <w:rFonts w:eastAsia="华文细黑"/>
      <w:b/>
      <w:color w:val="010281"/>
      <w:kern w:val="2"/>
      <w:sz w:val="36"/>
      <w:szCs w:val="36"/>
    </w:rPr>
  </w:style>
  <w:style w:type="character" w:customStyle="1" w:styleId="Char1">
    <w:name w:val="页脚 Char"/>
    <w:link w:val="ad"/>
    <w:rsid w:val="00E36B57"/>
    <w:rPr>
      <w:rFonts w:eastAsia="楷体"/>
      <w:kern w:val="2"/>
      <w:sz w:val="18"/>
      <w:szCs w:val="18"/>
    </w:rPr>
  </w:style>
  <w:style w:type="paragraph" w:styleId="ae">
    <w:name w:val="header"/>
    <w:basedOn w:val="a0"/>
    <w:rsid w:val="00E36B57"/>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rsid w:val="00E36B57"/>
    <w:pPr>
      <w:tabs>
        <w:tab w:val="center" w:pos="4153"/>
        <w:tab w:val="right" w:pos="8306"/>
      </w:tabs>
      <w:snapToGrid w:val="0"/>
      <w:jc w:val="left"/>
    </w:pPr>
    <w:rPr>
      <w:rFonts w:eastAsia="楷体"/>
      <w:color w:val="auto"/>
      <w:sz w:val="18"/>
      <w:szCs w:val="18"/>
    </w:rPr>
  </w:style>
  <w:style w:type="paragraph" w:styleId="af">
    <w:name w:val="caption"/>
    <w:basedOn w:val="a0"/>
    <w:next w:val="a0"/>
    <w:qFormat/>
    <w:rsid w:val="00E36B57"/>
    <w:rPr>
      <w:rFonts w:ascii="Calibri Light" w:eastAsia="黑体" w:hAnsi="Calibri Light"/>
      <w:sz w:val="20"/>
      <w:szCs w:val="20"/>
    </w:rPr>
  </w:style>
  <w:style w:type="paragraph" w:styleId="ab">
    <w:name w:val="Balloon Text"/>
    <w:basedOn w:val="a0"/>
    <w:link w:val="Char"/>
    <w:rsid w:val="00E36B57"/>
    <w:rPr>
      <w:rFonts w:eastAsia="楷体"/>
      <w:color w:val="auto"/>
      <w:sz w:val="18"/>
      <w:szCs w:val="18"/>
    </w:rPr>
  </w:style>
  <w:style w:type="paragraph" w:styleId="ac">
    <w:name w:val="Title"/>
    <w:basedOn w:val="a0"/>
    <w:next w:val="a0"/>
    <w:link w:val="Char0"/>
    <w:qFormat/>
    <w:rsid w:val="00E36B57"/>
    <w:pPr>
      <w:jc w:val="left"/>
    </w:pPr>
    <w:rPr>
      <w:rFonts w:ascii="楷体_GB2312"/>
      <w:b/>
      <w:color w:val="auto"/>
      <w:sz w:val="44"/>
      <w:szCs w:val="44"/>
    </w:rPr>
  </w:style>
  <w:style w:type="paragraph" w:customStyle="1" w:styleId="3">
    <w:name w:val="标题3"/>
    <w:basedOn w:val="a0"/>
    <w:link w:val="3CharChar"/>
    <w:rsid w:val="00E36B57"/>
    <w:pPr>
      <w:spacing w:beforeLines="50"/>
    </w:pPr>
    <w:rPr>
      <w:b/>
      <w:color w:val="000099"/>
      <w:sz w:val="28"/>
      <w:szCs w:val="28"/>
    </w:rPr>
  </w:style>
  <w:style w:type="paragraph" w:customStyle="1" w:styleId="aa">
    <w:name w:val="图表注"/>
    <w:basedOn w:val="a0"/>
    <w:link w:val="CharChar1"/>
    <w:rsid w:val="00E36B57"/>
    <w:pPr>
      <w:jc w:val="center"/>
    </w:pPr>
    <w:rPr>
      <w:color w:val="auto"/>
      <w:sz w:val="21"/>
      <w:szCs w:val="21"/>
    </w:rPr>
  </w:style>
  <w:style w:type="paragraph" w:styleId="af0">
    <w:name w:val="List Paragraph"/>
    <w:basedOn w:val="a0"/>
    <w:qFormat/>
    <w:rsid w:val="00E36B57"/>
    <w:pPr>
      <w:ind w:firstLine="420"/>
    </w:pPr>
  </w:style>
  <w:style w:type="paragraph" w:customStyle="1" w:styleId="2">
    <w:name w:val="标题2"/>
    <w:basedOn w:val="a0"/>
    <w:link w:val="2CharChar"/>
    <w:rsid w:val="00E36B57"/>
    <w:pPr>
      <w:spacing w:beforeLines="50"/>
      <w:ind w:firstLine="601"/>
    </w:pPr>
    <w:rPr>
      <w:b/>
      <w:color w:val="010281"/>
      <w:sz w:val="30"/>
      <w:szCs w:val="30"/>
      <w:u w:val="single"/>
    </w:rPr>
  </w:style>
  <w:style w:type="paragraph" w:customStyle="1" w:styleId="a">
    <w:name w:val="摘要"/>
    <w:basedOn w:val="a0"/>
    <w:link w:val="CharChar"/>
    <w:qFormat/>
    <w:rsid w:val="00E36B57"/>
    <w:pPr>
      <w:numPr>
        <w:numId w:val="1"/>
      </w:numPr>
      <w:tabs>
        <w:tab w:val="left" w:pos="420"/>
      </w:tabs>
      <w:spacing w:beforeLines="50"/>
      <w:jc w:val="left"/>
    </w:pPr>
    <w:rPr>
      <w:rFonts w:ascii="楷体_GB2312" w:eastAsia="楷体"/>
      <w:color w:val="auto"/>
      <w:sz w:val="24"/>
    </w:rPr>
  </w:style>
  <w:style w:type="paragraph" w:customStyle="1" w:styleId="a9">
    <w:name w:val="图表头"/>
    <w:basedOn w:val="a0"/>
    <w:link w:val="CharChar0"/>
    <w:rsid w:val="00E36B57"/>
    <w:pPr>
      <w:jc w:val="center"/>
    </w:pPr>
    <w:rPr>
      <w:b/>
      <w:color w:val="auto"/>
      <w:sz w:val="21"/>
      <w:szCs w:val="21"/>
    </w:rPr>
  </w:style>
  <w:style w:type="table" w:styleId="af1">
    <w:name w:val="Table Grid"/>
    <w:basedOn w:val="a2"/>
    <w:uiPriority w:val="59"/>
    <w:rsid w:val="00BD2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中等深浅网格 3 - 强调文字颜色 1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1">
    <w:name w:val="中等深浅网格 2 - 强调文字颜色 51"/>
    <w:basedOn w:val="a2"/>
    <w:uiPriority w:val="68"/>
    <w:rsid w:val="00BD298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中等深浅网格 3 - 强调文字颜色 5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s>
</file>

<file path=word/webSettings.xml><?xml version="1.0" encoding="utf-8"?>
<w:webSettings xmlns:r="http://schemas.openxmlformats.org/officeDocument/2006/relationships" xmlns:w="http://schemas.openxmlformats.org/wordprocessingml/2006/main">
  <w:divs>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zfutures.com" TargetMode="External"/><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21407;&#27833;\&#26376;&#25253;\&#21407;&#27833;&#26376;&#25253;20180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488BA-DFDE-46A0-9C16-520B872E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原油月报201804</Template>
  <TotalTime>2</TotalTime>
  <Pages>6</Pages>
  <Words>564</Words>
  <Characters>3215</Characters>
  <Application>Microsoft Office Word</Application>
  <DocSecurity>0</DocSecurity>
  <PresentationFormat/>
  <Lines>26</Lines>
  <Paragraphs>7</Paragraphs>
  <Slides>0</Slides>
  <Notes>0</Notes>
  <HiddenSlides>0</HiddenSlides>
  <MMClips>0</MMClips>
  <ScaleCrop>false</ScaleCrop>
  <Company>微软中国</Company>
  <LinksUpToDate>false</LinksUpToDate>
  <CharactersWithSpaces>3772</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XZQH</cp:lastModifiedBy>
  <cp:revision>1</cp:revision>
  <cp:lastPrinted>2016-05-08T10:08:00Z</cp:lastPrinted>
  <dcterms:created xsi:type="dcterms:W3CDTF">2018-04-02T00:23:00Z</dcterms:created>
  <dcterms:modified xsi:type="dcterms:W3CDTF">2018-04-02T00:25:00Z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