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8"/>
        <w:gridCol w:w="2376"/>
        <w:gridCol w:w="5266"/>
        <w:gridCol w:w="944"/>
      </w:tblGrid>
      <w:tr w:rsidR="00AA50A7" w:rsidTr="00AA50A7">
        <w:tc>
          <w:tcPr>
            <w:tcW w:w="5954" w:type="dxa"/>
            <w:gridSpan w:val="2"/>
            <w:shd w:val="clear" w:color="auto" w:fill="010281"/>
          </w:tcPr>
          <w:p w:rsidR="00AA50A7" w:rsidRPr="00C7465D" w:rsidRDefault="001477E4" w:rsidP="00AE53F9">
            <w:pPr>
              <w:ind w:firstLineChars="99" w:firstLine="317"/>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_x0000_s1026" type="#_x0000_t109" style="position:absolute;left:0;text-align:left;margin-left:-8.55pt;margin-top:0;width:182.25pt;height:33.2pt;z-index:251660288;mso-position-horizontal-relative:margin;mso-position-vertical-relative:page" fillcolor="#9da4d3" stroked="f">
                  <v:textbox style="mso-next-textbox:#_x0000_s1026">
                    <w:txbxContent>
                      <w:p w:rsidR="00AA50A7" w:rsidRDefault="00BC1BAC" w:rsidP="00AE53F9">
                        <w:pPr>
                          <w:ind w:firstLine="641"/>
                        </w:pPr>
                        <w:proofErr w:type="gramStart"/>
                        <w:r>
                          <w:rPr>
                            <w:rFonts w:hint="eastAsia"/>
                            <w:b/>
                            <w:color w:val="FFFFFF" w:themeColor="background1"/>
                            <w:sz w:val="32"/>
                          </w:rPr>
                          <w:t>周</w:t>
                        </w:r>
                        <w:r w:rsidR="00AA50A7" w:rsidRPr="00C7465D">
                          <w:rPr>
                            <w:rFonts w:hint="eastAsia"/>
                            <w:b/>
                            <w:color w:val="FFFFFF" w:themeColor="background1"/>
                            <w:sz w:val="32"/>
                          </w:rPr>
                          <w:t>度报告</w:t>
                        </w:r>
                        <w:proofErr w:type="gramEnd"/>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73.7pt;margin-top:0;width:12pt;height:33.2pt;z-index:251662336;mso-position-horizontal-relative:margin;mso-position-vertical-relative:page" fillcolor="#f2f2f2 [3052]" stroked="f">
                  <v:textbox style="layout-flow:vertical-ideographic"/>
                  <w10:wrap anchorx="margin" anchory="page"/>
                </v:shape>
              </w:pict>
            </w:r>
            <w:r>
              <w:rPr>
                <w:b/>
                <w:noProof/>
                <w:color w:val="FFFFFF" w:themeColor="background1"/>
                <w:sz w:val="32"/>
              </w:rPr>
              <w:pict>
                <v:shape id="_x0000_s1027" type="#_x0000_t7" style="position:absolute;left:0;text-align:left;margin-left:160.2pt;margin-top:0;width:20.25pt;height:33.2pt;z-index:251661312;mso-position-horizontal-relative:margin;mso-position-vertical-relative:page" fillcolor="#9da4d3" stroked="f">
                  <v:textbox style="layout-flow:vertical-ideographic"/>
                  <w10:wrap anchorx="margin" anchory="page"/>
                </v:shape>
              </w:pict>
            </w:r>
            <w:r w:rsidR="00AA50A7" w:rsidRPr="00C7465D">
              <w:rPr>
                <w:b/>
                <w:color w:val="FFFFFF" w:themeColor="background1"/>
                <w:sz w:val="32"/>
              </w:rPr>
              <w:t xml:space="preserve"> </w:t>
            </w:r>
          </w:p>
        </w:tc>
        <w:tc>
          <w:tcPr>
            <w:tcW w:w="6210" w:type="dxa"/>
            <w:gridSpan w:val="2"/>
            <w:shd w:val="clear" w:color="auto" w:fill="010281"/>
          </w:tcPr>
          <w:p w:rsidR="00AA50A7" w:rsidRPr="00C7465D" w:rsidRDefault="00AA50A7" w:rsidP="00AE53F9">
            <w:pPr>
              <w:wordWrap w:val="0"/>
              <w:ind w:firstLine="641"/>
              <w:jc w:val="right"/>
              <w:rPr>
                <w:b/>
                <w:color w:val="FFFFFF" w:themeColor="background1"/>
                <w:sz w:val="32"/>
              </w:rPr>
            </w:pPr>
            <w:r w:rsidRPr="00C7465D">
              <w:rPr>
                <w:rFonts w:hint="eastAsia"/>
                <w:b/>
                <w:color w:val="FFFFFF" w:themeColor="background1"/>
                <w:sz w:val="32"/>
              </w:rPr>
              <w:t>金融衍生品</w:t>
            </w:r>
            <w:r w:rsidR="002C5820">
              <w:rPr>
                <w:rFonts w:hint="eastAsia"/>
                <w:b/>
                <w:color w:val="FFFFFF" w:themeColor="background1"/>
                <w:sz w:val="32"/>
              </w:rPr>
              <w:t>/</w:t>
            </w:r>
            <w:r w:rsidR="002C5820">
              <w:rPr>
                <w:rFonts w:hint="eastAsia"/>
                <w:b/>
                <w:color w:val="FFFFFF" w:themeColor="background1"/>
                <w:sz w:val="32"/>
              </w:rPr>
              <w:t>全球商品</w:t>
            </w:r>
            <w:r w:rsidR="002C5820">
              <w:rPr>
                <w:b/>
                <w:color w:val="FFFFFF" w:themeColor="background1"/>
                <w:sz w:val="32"/>
              </w:rPr>
              <w:t>研究</w:t>
            </w:r>
            <w:r w:rsidR="00201C75">
              <w:rPr>
                <w:rFonts w:hint="eastAsia"/>
                <w:b/>
                <w:color w:val="FFFFFF" w:themeColor="background1"/>
                <w:sz w:val="32"/>
              </w:rPr>
              <w:t>·</w:t>
            </w:r>
            <w:r w:rsidR="00043E88">
              <w:rPr>
                <w:rFonts w:hint="eastAsia"/>
                <w:b/>
                <w:color w:val="FFFFFF" w:themeColor="background1"/>
                <w:sz w:val="32"/>
              </w:rPr>
              <w:t>原油</w:t>
            </w:r>
            <w:r w:rsidRPr="00C7465D">
              <w:rPr>
                <w:rFonts w:hint="eastAsia"/>
                <w:b/>
                <w:color w:val="FFFFFF" w:themeColor="background1"/>
                <w:sz w:val="32"/>
              </w:rPr>
              <w:t xml:space="preserve">    </w:t>
            </w:r>
          </w:p>
        </w:tc>
      </w:tr>
      <w:tr w:rsidR="00AA50A7" w:rsidTr="00AA50A7">
        <w:tc>
          <w:tcPr>
            <w:tcW w:w="5954" w:type="dxa"/>
            <w:gridSpan w:val="2"/>
            <w:shd w:val="clear" w:color="auto" w:fill="auto"/>
          </w:tcPr>
          <w:p w:rsidR="00AA50A7" w:rsidRPr="00144727" w:rsidRDefault="00521CEE" w:rsidP="00D263F3">
            <w:pPr>
              <w:ind w:firstLineChars="150" w:firstLine="330"/>
            </w:pPr>
            <w:proofErr w:type="gramStart"/>
            <w:r>
              <w:rPr>
                <w:rFonts w:hint="eastAsia"/>
              </w:rPr>
              <w:t>兴证期货</w:t>
            </w:r>
            <w:proofErr w:type="gramEnd"/>
            <w:r w:rsidR="00AA50A7">
              <w:rPr>
                <w:rFonts w:hint="eastAsia"/>
              </w:rPr>
              <w:t>.</w:t>
            </w:r>
            <w:r w:rsidR="00AA50A7">
              <w:rPr>
                <w:rFonts w:hint="eastAsia"/>
              </w:rPr>
              <w:t>研发产品系列</w:t>
            </w:r>
          </w:p>
        </w:tc>
        <w:tc>
          <w:tcPr>
            <w:tcW w:w="6210" w:type="dxa"/>
            <w:gridSpan w:val="2"/>
            <w:shd w:val="clear" w:color="auto" w:fill="auto"/>
          </w:tcPr>
          <w:p w:rsidR="00AA50A7" w:rsidRPr="00144727" w:rsidRDefault="00AA50A7" w:rsidP="00D263F3">
            <w:pPr>
              <w:wordWrap w:val="0"/>
              <w:ind w:firstLine="440"/>
              <w:jc w:val="right"/>
            </w:pPr>
            <w:r>
              <w:rPr>
                <w:rFonts w:hint="eastAsia"/>
              </w:rPr>
              <w:t xml:space="preserve">  </w:t>
            </w:r>
          </w:p>
        </w:tc>
      </w:tr>
      <w:tr w:rsidR="000651D8"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235EDB" w:rsidRDefault="00235EDB" w:rsidP="00235EDB">
            <w:pPr>
              <w:pStyle w:val="a9"/>
              <w:ind w:firstLineChars="0" w:firstLine="0"/>
              <w:jc w:val="right"/>
            </w:pPr>
            <w:r w:rsidRPr="00235EDB">
              <w:rPr>
                <w:rFonts w:ascii="宋体" w:eastAsia="宋体" w:hAnsi="宋体" w:cs="宋体" w:hint="eastAsia"/>
              </w:rPr>
              <w:t xml:space="preserve">OPEC延长减产协议，供需平衡仍在路上 </w:t>
            </w:r>
          </w:p>
        </w:tc>
      </w:tr>
    </w:tbl>
    <w:tbl>
      <w:tblPr>
        <w:tblStyle w:val="a7"/>
        <w:tblpPr w:leftFromText="180" w:rightFromText="180" w:vertAnchor="text" w:horzAnchor="page" w:tblpX="518"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tblPr>
      <w:tblGrid>
        <w:gridCol w:w="2977"/>
      </w:tblGrid>
      <w:tr w:rsidR="008702B2" w:rsidRPr="00932373" w:rsidTr="00932373">
        <w:trPr>
          <w:trHeight w:val="983"/>
        </w:trPr>
        <w:tc>
          <w:tcPr>
            <w:tcW w:w="2977" w:type="dxa"/>
            <w:vAlign w:val="bottom"/>
          </w:tcPr>
          <w:p w:rsidR="008702B2" w:rsidRPr="00932373" w:rsidRDefault="00521CEE" w:rsidP="00D60CE5">
            <w:pPr>
              <w:ind w:firstLineChars="0" w:firstLine="0"/>
              <w:rPr>
                <w:rFonts w:ascii="楷体" w:eastAsia="楷体" w:hAnsi="楷体"/>
                <w:color w:val="010281"/>
              </w:rPr>
            </w:pPr>
            <w:proofErr w:type="gramStart"/>
            <w:r>
              <w:rPr>
                <w:rFonts w:ascii="楷体" w:eastAsia="楷体" w:hAnsi="楷体" w:hint="eastAsia"/>
                <w:color w:val="010281"/>
              </w:rPr>
              <w:t>兴证期货</w:t>
            </w:r>
            <w:proofErr w:type="gramEnd"/>
            <w:r w:rsidR="00534893" w:rsidRPr="00932373">
              <w:rPr>
                <w:rFonts w:ascii="楷体" w:eastAsia="楷体" w:hAnsi="楷体" w:hint="eastAsia"/>
                <w:color w:val="010281"/>
              </w:rPr>
              <w:t>.</w:t>
            </w:r>
            <w:r w:rsidR="003B1265">
              <w:rPr>
                <w:rFonts w:ascii="楷体" w:eastAsia="楷体" w:hAnsi="楷体" w:hint="eastAsia"/>
                <w:color w:val="010281"/>
              </w:rPr>
              <w:t>研发</w:t>
            </w:r>
            <w:r w:rsidR="003B1265">
              <w:rPr>
                <w:rFonts w:ascii="楷体" w:eastAsia="楷体" w:hAnsi="楷体"/>
                <w:color w:val="010281"/>
              </w:rPr>
              <w:t>中心</w:t>
            </w:r>
          </w:p>
        </w:tc>
      </w:tr>
      <w:tr w:rsidR="00534893" w:rsidRPr="00932373" w:rsidTr="00932373">
        <w:trPr>
          <w:trHeight w:val="4670"/>
        </w:trPr>
        <w:tc>
          <w:tcPr>
            <w:tcW w:w="2977" w:type="dxa"/>
          </w:tcPr>
          <w:p w:rsidR="00043E88" w:rsidRDefault="00043E88" w:rsidP="00043E88">
            <w:pPr>
              <w:ind w:firstLineChars="0" w:firstLine="0"/>
              <w:jc w:val="left"/>
              <w:rPr>
                <w:rFonts w:ascii="楷体" w:eastAsia="楷体" w:hAnsi="楷体"/>
                <w:color w:val="010281"/>
              </w:rPr>
            </w:pPr>
            <w:r>
              <w:rPr>
                <w:rFonts w:ascii="楷体" w:eastAsia="楷体" w:hAnsi="楷体" w:hint="eastAsia"/>
                <w:color w:val="010281"/>
              </w:rPr>
              <w:t>能化研究团队</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林惠</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从业资格号：F0306148</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投资咨询资格号：Z0012671</w:t>
            </w:r>
          </w:p>
          <w:p w:rsidR="00043E88" w:rsidRPr="00B208CC" w:rsidRDefault="00043E88" w:rsidP="00043E88">
            <w:pPr>
              <w:ind w:firstLineChars="0" w:firstLine="0"/>
              <w:rPr>
                <w:rFonts w:ascii="楷体" w:eastAsia="楷体" w:hAnsi="楷体"/>
                <w:color w:val="010281"/>
              </w:rPr>
            </w:pP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刘佳利</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从业资格号：F0302346</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投资咨询资格号：Z0011397</w:t>
            </w:r>
          </w:p>
          <w:p w:rsidR="00043E88" w:rsidRPr="00B208CC" w:rsidRDefault="00043E88" w:rsidP="00043E88">
            <w:pPr>
              <w:ind w:firstLineChars="0" w:firstLine="0"/>
              <w:rPr>
                <w:rFonts w:ascii="楷体" w:eastAsia="楷体" w:hAnsi="楷体"/>
                <w:color w:val="010281"/>
              </w:rPr>
            </w:pP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施海</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从业资格号：F0273014</w:t>
            </w: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投资咨询资格号：Z0011937</w:t>
            </w:r>
          </w:p>
          <w:p w:rsidR="00043E88" w:rsidRPr="00B208CC" w:rsidRDefault="00043E88" w:rsidP="00043E88">
            <w:pPr>
              <w:ind w:firstLineChars="0" w:firstLine="0"/>
              <w:rPr>
                <w:rFonts w:ascii="楷体" w:eastAsia="楷体" w:hAnsi="楷体"/>
                <w:color w:val="010281"/>
              </w:rPr>
            </w:pPr>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刘</w:t>
            </w:r>
            <w:proofErr w:type="gramStart"/>
            <w:r w:rsidRPr="00B208CC">
              <w:rPr>
                <w:rFonts w:ascii="楷体" w:eastAsia="楷体" w:hAnsi="楷体" w:hint="eastAsia"/>
                <w:color w:val="010281"/>
              </w:rPr>
              <w:t>倡</w:t>
            </w:r>
            <w:proofErr w:type="gramEnd"/>
          </w:p>
          <w:p w:rsidR="00043E88" w:rsidRPr="00B208CC" w:rsidRDefault="00043E88" w:rsidP="00043E88">
            <w:pPr>
              <w:ind w:firstLineChars="0" w:firstLine="0"/>
              <w:rPr>
                <w:rFonts w:ascii="楷体" w:eastAsia="楷体" w:hAnsi="楷体"/>
                <w:color w:val="010281"/>
              </w:rPr>
            </w:pPr>
            <w:r w:rsidRPr="00B208CC">
              <w:rPr>
                <w:rFonts w:ascii="楷体" w:eastAsia="楷体" w:hAnsi="楷体" w:hint="eastAsia"/>
                <w:color w:val="010281"/>
              </w:rPr>
              <w:t>从业资格号：F3024149</w:t>
            </w:r>
          </w:p>
          <w:p w:rsidR="00043E88" w:rsidRPr="00B208CC" w:rsidRDefault="00043E88" w:rsidP="00043E88">
            <w:pPr>
              <w:ind w:firstLineChars="0" w:firstLine="0"/>
              <w:rPr>
                <w:rFonts w:ascii="楷体" w:eastAsia="楷体" w:hAnsi="楷体"/>
                <w:color w:val="010281"/>
              </w:rPr>
            </w:pPr>
          </w:p>
          <w:p w:rsidR="00043E88" w:rsidRPr="00B208CC" w:rsidRDefault="00043E88" w:rsidP="00043E88">
            <w:pPr>
              <w:ind w:firstLineChars="0" w:firstLine="0"/>
              <w:rPr>
                <w:rFonts w:ascii="楷体" w:eastAsia="楷体" w:hAnsi="楷体"/>
                <w:color w:val="010281"/>
              </w:rPr>
            </w:pPr>
            <w:r>
              <w:rPr>
                <w:rFonts w:ascii="楷体" w:eastAsia="楷体" w:hAnsi="楷体" w:hint="eastAsia"/>
                <w:color w:val="010281"/>
              </w:rPr>
              <w:t>联系人</w:t>
            </w:r>
            <w:r w:rsidRPr="00B208CC">
              <w:rPr>
                <w:rFonts w:ascii="楷体" w:eastAsia="楷体" w:hAnsi="楷体" w:hint="eastAsia"/>
                <w:color w:val="010281"/>
              </w:rPr>
              <w:t>：</w:t>
            </w:r>
            <w:r>
              <w:rPr>
                <w:rFonts w:ascii="楷体" w:eastAsia="楷体" w:hAnsi="楷体" w:hint="eastAsia"/>
                <w:color w:val="010281"/>
              </w:rPr>
              <w:t>刘佳利</w:t>
            </w:r>
          </w:p>
          <w:p w:rsidR="00043E88" w:rsidRDefault="00043E88" w:rsidP="00043E88">
            <w:pPr>
              <w:ind w:firstLineChars="0" w:firstLine="0"/>
              <w:rPr>
                <w:rFonts w:ascii="楷体" w:eastAsia="楷体" w:hAnsi="楷体"/>
                <w:color w:val="010281"/>
              </w:rPr>
            </w:pPr>
            <w:r>
              <w:rPr>
                <w:rFonts w:ascii="楷体" w:eastAsia="楷体" w:hAnsi="楷体" w:hint="eastAsia"/>
                <w:color w:val="010281"/>
              </w:rPr>
              <w:t>电话：</w:t>
            </w:r>
            <w:r w:rsidRPr="00B208CC">
              <w:rPr>
                <w:rFonts w:ascii="楷体" w:eastAsia="楷体" w:hAnsi="楷体"/>
                <w:color w:val="010281"/>
              </w:rPr>
              <w:t>021-2037097</w:t>
            </w:r>
            <w:r>
              <w:rPr>
                <w:rFonts w:ascii="楷体" w:eastAsia="楷体" w:hAnsi="楷体" w:hint="eastAsia"/>
                <w:color w:val="010281"/>
              </w:rPr>
              <w:t>2</w:t>
            </w:r>
          </w:p>
          <w:p w:rsidR="00534893" w:rsidRPr="00932373" w:rsidRDefault="00043E88" w:rsidP="00043E88">
            <w:pPr>
              <w:ind w:firstLineChars="0" w:firstLine="0"/>
              <w:rPr>
                <w:rFonts w:ascii="楷体" w:eastAsia="楷体" w:hAnsi="楷体"/>
                <w:color w:val="010281"/>
              </w:rPr>
            </w:pPr>
            <w:r w:rsidRPr="005B2E1B">
              <w:rPr>
                <w:rFonts w:ascii="楷体" w:eastAsia="楷体" w:hAnsi="楷体" w:hint="eastAsia"/>
                <w:color w:val="010281"/>
              </w:rPr>
              <w:t>邮箱</w:t>
            </w:r>
            <w:r>
              <w:rPr>
                <w:rFonts w:ascii="楷体" w:eastAsia="楷体" w:hAnsi="楷体" w:hint="eastAsia"/>
              </w:rPr>
              <w:t>：</w:t>
            </w:r>
            <w:hyperlink r:id="rId8" w:history="1">
              <w:r w:rsidRPr="00CD7E9B">
                <w:rPr>
                  <w:rStyle w:val="a6"/>
                  <w:rFonts w:ascii="楷体" w:eastAsia="楷体" w:hAnsi="楷体" w:hint="eastAsia"/>
                </w:rPr>
                <w:t>liujl@</w:t>
              </w:r>
              <w:r w:rsidRPr="00CD7E9B">
                <w:rPr>
                  <w:rStyle w:val="a6"/>
                  <w:rFonts w:ascii="楷体" w:eastAsia="楷体" w:hAnsi="楷体"/>
                </w:rPr>
                <w:t>xzfutures</w:t>
              </w:r>
              <w:r w:rsidRPr="00CD7E9B">
                <w:rPr>
                  <w:rStyle w:val="a6"/>
                  <w:rFonts w:ascii="楷体" w:eastAsia="楷体" w:hAnsi="楷体" w:hint="eastAsia"/>
                </w:rPr>
                <w:t>.com</w:t>
              </w:r>
            </w:hyperlink>
          </w:p>
        </w:tc>
      </w:tr>
    </w:tbl>
    <w:p w:rsidR="000D2AE7" w:rsidRDefault="00310922" w:rsidP="00310922">
      <w:pPr>
        <w:wordWrap w:val="0"/>
        <w:ind w:firstLineChars="0" w:firstLine="0"/>
        <w:jc w:val="right"/>
        <w:rPr>
          <w:rStyle w:val="ab"/>
        </w:rPr>
      </w:pPr>
      <w:r>
        <w:rPr>
          <w:rFonts w:hint="eastAsia"/>
        </w:rPr>
        <w:t xml:space="preserve">                                             </w:t>
      </w:r>
      <w:r w:rsidR="007004BA">
        <w:rPr>
          <w:rFonts w:hint="eastAsia"/>
        </w:rPr>
        <w:t>2017</w:t>
      </w:r>
      <w:r w:rsidR="00AA50A7">
        <w:rPr>
          <w:rFonts w:hint="eastAsia"/>
        </w:rPr>
        <w:t>年</w:t>
      </w:r>
      <w:r w:rsidR="001C7D9F">
        <w:rPr>
          <w:rFonts w:hint="eastAsia"/>
        </w:rPr>
        <w:t>12</w:t>
      </w:r>
      <w:r w:rsidR="00AA50A7">
        <w:rPr>
          <w:rFonts w:hint="eastAsia"/>
        </w:rPr>
        <w:t>月</w:t>
      </w:r>
      <w:r w:rsidR="001C7D9F">
        <w:rPr>
          <w:rFonts w:hint="eastAsia"/>
        </w:rPr>
        <w:t>4</w:t>
      </w:r>
      <w:r w:rsidR="00AA50A7">
        <w:rPr>
          <w:rFonts w:hint="eastAsia"/>
        </w:rPr>
        <w:t>日</w:t>
      </w:r>
      <w:r w:rsidR="00AA50A7">
        <w:rPr>
          <w:rFonts w:hint="eastAsia"/>
        </w:rPr>
        <w:t xml:space="preserve">  </w:t>
      </w:r>
      <w:r w:rsidR="007004BA">
        <w:rPr>
          <w:rFonts w:hint="eastAsia"/>
        </w:rPr>
        <w:t>星期</w:t>
      </w:r>
      <w:r w:rsidR="00F23EEB">
        <w:rPr>
          <w:rFonts w:hint="eastAsia"/>
        </w:rPr>
        <w:t>一</w:t>
      </w:r>
    </w:p>
    <w:p w:rsidR="000651D8" w:rsidRPr="00D263F3" w:rsidRDefault="00CA4659" w:rsidP="000D2AE7">
      <w:pPr>
        <w:ind w:firstLineChars="0" w:firstLine="0"/>
        <w:jc w:val="left"/>
        <w:rPr>
          <w:rStyle w:val="ab"/>
        </w:rPr>
      </w:pPr>
      <w:r w:rsidRPr="00D263F3">
        <w:rPr>
          <w:rStyle w:val="ab"/>
          <w:rFonts w:hint="eastAsia"/>
        </w:rPr>
        <w:t>内容提要</w:t>
      </w:r>
    </w:p>
    <w:p w:rsidR="000651D8" w:rsidRPr="0053682C" w:rsidRDefault="000651D8" w:rsidP="000D2AE7">
      <w:pPr>
        <w:pStyle w:val="a"/>
        <w:numPr>
          <w:ilvl w:val="0"/>
          <w:numId w:val="3"/>
        </w:numPr>
        <w:spacing w:before="163"/>
        <w:ind w:firstLineChars="0"/>
        <w:rPr>
          <w:rStyle w:val="ab"/>
        </w:rPr>
      </w:pPr>
      <w:r w:rsidRPr="0053682C">
        <w:rPr>
          <w:rStyle w:val="ab"/>
          <w:rFonts w:hint="eastAsia"/>
          <w:sz w:val="28"/>
        </w:rPr>
        <w:t>行情</w:t>
      </w:r>
      <w:r w:rsidRPr="00310922">
        <w:rPr>
          <w:rStyle w:val="ab"/>
          <w:rFonts w:hint="eastAsia"/>
          <w:sz w:val="28"/>
        </w:rPr>
        <w:t>回顾</w:t>
      </w:r>
    </w:p>
    <w:p w:rsidR="00C67AB9" w:rsidRPr="00235EDB" w:rsidRDefault="00673B2D"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11</w:t>
      </w:r>
      <w:r w:rsidRPr="00235EDB">
        <w:rPr>
          <w:rFonts w:ascii="Microsoft Yahei" w:hAnsi="Microsoft Yahei" w:hint="eastAsia"/>
        </w:rPr>
        <w:t>月份国际原油期货价格延续震荡上扬格局。</w:t>
      </w:r>
      <w:r w:rsidRPr="00235EDB">
        <w:rPr>
          <w:rFonts w:ascii="Microsoft Yahei" w:hAnsi="Microsoft Yahei" w:hint="eastAsia"/>
        </w:rPr>
        <w:t>WTI</w:t>
      </w:r>
      <w:r w:rsidRPr="00235EDB">
        <w:rPr>
          <w:rFonts w:ascii="Microsoft Yahei" w:hAnsi="Microsoft Yahei" w:hint="eastAsia"/>
        </w:rPr>
        <w:t>主力合约月度上涨</w:t>
      </w:r>
      <w:r w:rsidRPr="00235EDB">
        <w:rPr>
          <w:rFonts w:ascii="Microsoft Yahei" w:hAnsi="Microsoft Yahei" w:hint="eastAsia"/>
        </w:rPr>
        <w:t>3.65</w:t>
      </w:r>
      <w:r w:rsidRPr="00235EDB">
        <w:rPr>
          <w:rFonts w:ascii="Microsoft Yahei" w:hAnsi="Microsoft Yahei" w:hint="eastAsia"/>
        </w:rPr>
        <w:t>美元</w:t>
      </w:r>
      <w:r w:rsidRPr="00235EDB">
        <w:rPr>
          <w:rFonts w:ascii="Microsoft Yahei" w:hAnsi="Microsoft Yahei" w:hint="eastAsia"/>
        </w:rPr>
        <w:t>/</w:t>
      </w:r>
      <w:r w:rsidRPr="00235EDB">
        <w:rPr>
          <w:rFonts w:ascii="Microsoft Yahei" w:hAnsi="Microsoft Yahei" w:hint="eastAsia"/>
        </w:rPr>
        <w:t>桶，涨幅</w:t>
      </w:r>
      <w:r w:rsidRPr="00235EDB">
        <w:rPr>
          <w:rFonts w:ascii="Microsoft Yahei" w:hAnsi="Microsoft Yahei" w:hint="eastAsia"/>
        </w:rPr>
        <w:t>6.68%</w:t>
      </w:r>
      <w:r w:rsidRPr="00235EDB">
        <w:rPr>
          <w:rFonts w:ascii="Microsoft Yahei" w:hAnsi="Microsoft Yahei" w:hint="eastAsia"/>
        </w:rPr>
        <w:t>，截至月末收于</w:t>
      </w:r>
      <w:r w:rsidRPr="00235EDB">
        <w:rPr>
          <w:rFonts w:ascii="Microsoft Yahei" w:hAnsi="Microsoft Yahei" w:hint="eastAsia"/>
        </w:rPr>
        <w:t>58.29</w:t>
      </w:r>
      <w:r w:rsidRPr="00235EDB">
        <w:rPr>
          <w:rFonts w:ascii="Microsoft Yahei" w:hAnsi="Microsoft Yahei" w:hint="eastAsia"/>
        </w:rPr>
        <w:t>美元</w:t>
      </w:r>
      <w:r w:rsidRPr="00235EDB">
        <w:rPr>
          <w:rFonts w:ascii="Microsoft Yahei" w:hAnsi="Microsoft Yahei" w:hint="eastAsia"/>
        </w:rPr>
        <w:t>/</w:t>
      </w:r>
      <w:r w:rsidRPr="00235EDB">
        <w:rPr>
          <w:rFonts w:ascii="Microsoft Yahei" w:hAnsi="Microsoft Yahei" w:hint="eastAsia"/>
        </w:rPr>
        <w:t>桶，是自</w:t>
      </w:r>
      <w:r w:rsidRPr="00235EDB">
        <w:rPr>
          <w:rFonts w:ascii="Microsoft Yahei" w:hAnsi="Microsoft Yahei" w:hint="eastAsia"/>
        </w:rPr>
        <w:t>2015</w:t>
      </w:r>
      <w:r w:rsidRPr="00235EDB">
        <w:rPr>
          <w:rFonts w:ascii="Microsoft Yahei" w:hAnsi="Microsoft Yahei" w:hint="eastAsia"/>
        </w:rPr>
        <w:t>年</w:t>
      </w:r>
      <w:r w:rsidRPr="00235EDB">
        <w:rPr>
          <w:rFonts w:ascii="Microsoft Yahei" w:hAnsi="Microsoft Yahei" w:hint="eastAsia"/>
        </w:rPr>
        <w:t>7</w:t>
      </w:r>
      <w:r w:rsidRPr="00235EDB">
        <w:rPr>
          <w:rFonts w:ascii="Microsoft Yahei" w:hAnsi="Microsoft Yahei" w:hint="eastAsia"/>
        </w:rPr>
        <w:t>月以来的新高。从月线来看，已经连续</w:t>
      </w:r>
      <w:r w:rsidRPr="00235EDB">
        <w:rPr>
          <w:rFonts w:ascii="Microsoft Yahei" w:hAnsi="Microsoft Yahei" w:hint="eastAsia"/>
        </w:rPr>
        <w:t>3</w:t>
      </w:r>
      <w:r w:rsidRPr="00235EDB">
        <w:rPr>
          <w:rFonts w:ascii="Microsoft Yahei" w:hAnsi="Microsoft Yahei" w:hint="eastAsia"/>
        </w:rPr>
        <w:t>个月收阳线</w:t>
      </w:r>
      <w:r w:rsidR="00310922" w:rsidRPr="00235EDB">
        <w:rPr>
          <w:rFonts w:ascii="Microsoft Yahei" w:hAnsi="Microsoft Yahei" w:hint="eastAsia"/>
        </w:rPr>
        <w:t>。</w:t>
      </w:r>
      <w:r w:rsidRPr="00235EDB">
        <w:rPr>
          <w:rFonts w:ascii="Microsoft Yahei" w:hAnsi="Microsoft Yahei" w:hint="eastAsia"/>
        </w:rPr>
        <w:t>同样布伦</w:t>
      </w:r>
      <w:proofErr w:type="gramStart"/>
      <w:r w:rsidRPr="00235EDB">
        <w:rPr>
          <w:rFonts w:ascii="Microsoft Yahei" w:hAnsi="Microsoft Yahei" w:hint="eastAsia"/>
        </w:rPr>
        <w:t>特</w:t>
      </w:r>
      <w:proofErr w:type="gramEnd"/>
      <w:r w:rsidRPr="00235EDB">
        <w:rPr>
          <w:rFonts w:ascii="Microsoft Yahei" w:hAnsi="Microsoft Yahei" w:hint="eastAsia"/>
        </w:rPr>
        <w:t>原油期货价格也是持续上扬，</w:t>
      </w:r>
      <w:r w:rsidRPr="00235EDB">
        <w:rPr>
          <w:rFonts w:ascii="Microsoft Yahei" w:hAnsi="Microsoft Yahei" w:hint="eastAsia"/>
        </w:rPr>
        <w:t>11</w:t>
      </w:r>
      <w:r w:rsidRPr="00235EDB">
        <w:rPr>
          <w:rFonts w:ascii="Microsoft Yahei" w:hAnsi="Microsoft Yahei" w:hint="eastAsia"/>
        </w:rPr>
        <w:t>月主力合约共上涨</w:t>
      </w:r>
      <w:r w:rsidRPr="00235EDB">
        <w:rPr>
          <w:rFonts w:ascii="Microsoft Yahei" w:hAnsi="Microsoft Yahei" w:hint="eastAsia"/>
        </w:rPr>
        <w:t>2.52</w:t>
      </w:r>
      <w:r w:rsidRPr="00235EDB">
        <w:rPr>
          <w:rFonts w:ascii="Microsoft Yahei" w:hAnsi="Microsoft Yahei" w:hint="eastAsia"/>
        </w:rPr>
        <w:t>美元，涨幅</w:t>
      </w:r>
      <w:r w:rsidRPr="00235EDB">
        <w:rPr>
          <w:rFonts w:ascii="Microsoft Yahei" w:hAnsi="Microsoft Yahei" w:hint="eastAsia"/>
        </w:rPr>
        <w:t>4.12%</w:t>
      </w:r>
      <w:r w:rsidRPr="00235EDB">
        <w:rPr>
          <w:rFonts w:ascii="Microsoft Yahei" w:hAnsi="Microsoft Yahei" w:hint="eastAsia"/>
        </w:rPr>
        <w:t>，截至月末收于</w:t>
      </w:r>
      <w:r w:rsidRPr="00235EDB">
        <w:rPr>
          <w:rFonts w:ascii="Microsoft Yahei" w:hAnsi="Microsoft Yahei" w:hint="eastAsia"/>
        </w:rPr>
        <w:t>63.7</w:t>
      </w:r>
      <w:r w:rsidRPr="00235EDB">
        <w:rPr>
          <w:rFonts w:ascii="Microsoft Yahei" w:hAnsi="Microsoft Yahei" w:hint="eastAsia"/>
        </w:rPr>
        <w:t>美元</w:t>
      </w:r>
      <w:r w:rsidRPr="00235EDB">
        <w:rPr>
          <w:rFonts w:ascii="Microsoft Yahei" w:hAnsi="Microsoft Yahei" w:hint="eastAsia"/>
        </w:rPr>
        <w:t>/</w:t>
      </w:r>
      <w:r w:rsidRPr="00235EDB">
        <w:rPr>
          <w:rFonts w:ascii="Microsoft Yahei" w:hAnsi="Microsoft Yahei" w:hint="eastAsia"/>
        </w:rPr>
        <w:t>桶，创下</w:t>
      </w:r>
      <w:r w:rsidRPr="00235EDB">
        <w:rPr>
          <w:rFonts w:ascii="Microsoft Yahei" w:hAnsi="Microsoft Yahei" w:hint="eastAsia"/>
        </w:rPr>
        <w:t>2015</w:t>
      </w:r>
      <w:r w:rsidRPr="00235EDB">
        <w:rPr>
          <w:rFonts w:ascii="Microsoft Yahei" w:hAnsi="Microsoft Yahei" w:hint="eastAsia"/>
        </w:rPr>
        <w:t>年</w:t>
      </w:r>
      <w:r w:rsidRPr="00235EDB">
        <w:rPr>
          <w:rFonts w:ascii="Microsoft Yahei" w:hAnsi="Microsoft Yahei" w:hint="eastAsia"/>
        </w:rPr>
        <w:t>6</w:t>
      </w:r>
      <w:r w:rsidRPr="00235EDB">
        <w:rPr>
          <w:rFonts w:ascii="Microsoft Yahei" w:hAnsi="Microsoft Yahei" w:hint="eastAsia"/>
        </w:rPr>
        <w:t>月以来新高</w:t>
      </w:r>
      <w:r w:rsidR="00235EDB" w:rsidRPr="00235EDB">
        <w:rPr>
          <w:rFonts w:ascii="Microsoft Yahei" w:hAnsi="Microsoft Yahei" w:hint="eastAsia"/>
        </w:rPr>
        <w:t>。</w:t>
      </w:r>
    </w:p>
    <w:p w:rsidR="000651D8" w:rsidRPr="0053682C" w:rsidRDefault="000651D8" w:rsidP="000D2AE7">
      <w:pPr>
        <w:pStyle w:val="a"/>
        <w:numPr>
          <w:ilvl w:val="0"/>
          <w:numId w:val="3"/>
        </w:numPr>
        <w:spacing w:before="163"/>
        <w:ind w:firstLineChars="0"/>
        <w:rPr>
          <w:rStyle w:val="ab"/>
          <w:sz w:val="28"/>
        </w:rPr>
      </w:pPr>
      <w:r w:rsidRPr="0053682C">
        <w:rPr>
          <w:rStyle w:val="ab"/>
          <w:rFonts w:hint="eastAsia"/>
          <w:sz w:val="28"/>
        </w:rPr>
        <w:t>后市展望及策略建议</w:t>
      </w:r>
    </w:p>
    <w:p w:rsidR="00235EDB"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总体来看，</w:t>
      </w:r>
      <w:r w:rsidRPr="00235EDB">
        <w:rPr>
          <w:rFonts w:ascii="Microsoft Yahei" w:hAnsi="Microsoft Yahei" w:hint="eastAsia"/>
        </w:rPr>
        <w:t>OPEC</w:t>
      </w:r>
      <w:r w:rsidRPr="00235EDB">
        <w:rPr>
          <w:rFonts w:ascii="Microsoft Yahei" w:hAnsi="Microsoft Yahei" w:hint="eastAsia"/>
        </w:rPr>
        <w:t>与俄罗斯等非</w:t>
      </w:r>
      <w:r w:rsidRPr="00235EDB">
        <w:rPr>
          <w:rFonts w:ascii="Microsoft Yahei" w:hAnsi="Microsoft Yahei" w:hint="eastAsia"/>
        </w:rPr>
        <w:t>OPEC</w:t>
      </w:r>
      <w:r w:rsidRPr="00235EDB">
        <w:rPr>
          <w:rFonts w:ascii="Microsoft Yahei" w:hAnsi="Microsoft Yahei" w:hint="eastAsia"/>
        </w:rPr>
        <w:t>产油国决定将原油减产协议延长至</w:t>
      </w:r>
      <w:r w:rsidRPr="00235EDB">
        <w:rPr>
          <w:rFonts w:ascii="Microsoft Yahei" w:hAnsi="Microsoft Yahei"/>
        </w:rPr>
        <w:t>2018</w:t>
      </w:r>
      <w:r w:rsidRPr="00235EDB">
        <w:rPr>
          <w:rFonts w:ascii="Microsoft Yahei" w:hAnsi="Microsoft Yahei" w:hint="eastAsia"/>
        </w:rPr>
        <w:t>年年底，这一决定将直接影响未来国际原油供需平衡与价格走向，</w:t>
      </w:r>
      <w:r w:rsidRPr="00235EDB">
        <w:rPr>
          <w:rFonts w:ascii="Microsoft Yahei" w:hAnsi="Microsoft Yahei" w:hint="eastAsia"/>
        </w:rPr>
        <w:t>OPEC</w:t>
      </w:r>
      <w:r w:rsidRPr="00235EDB">
        <w:rPr>
          <w:rFonts w:ascii="Microsoft Yahei" w:hAnsi="Microsoft Yahei" w:hint="eastAsia"/>
        </w:rPr>
        <w:t>与页岩油生产国之间的原油定价权之争也将陷入持久战。</w:t>
      </w:r>
    </w:p>
    <w:p w:rsidR="00235EDB"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尽管经过近一年的努力，</w:t>
      </w:r>
      <w:r w:rsidRPr="00235EDB">
        <w:rPr>
          <w:rFonts w:ascii="Microsoft Yahei" w:hAnsi="Microsoft Yahei" w:hint="eastAsia"/>
        </w:rPr>
        <w:t>OPEC</w:t>
      </w:r>
      <w:r w:rsidRPr="00235EDB">
        <w:rPr>
          <w:rFonts w:ascii="Microsoft Yahei" w:hAnsi="Microsoft Yahei" w:hint="eastAsia"/>
        </w:rPr>
        <w:t>减产取得了一定成效，原油供过于求的局面得到一定缓解，国际油价有所回升，原油库存也明显下降，但距离其市场平衡的目标仍然较为遥远，让市场价格恢复至</w:t>
      </w:r>
      <w:r w:rsidRPr="00235EDB">
        <w:rPr>
          <w:rFonts w:ascii="Microsoft Yahei" w:hAnsi="Microsoft Yahei"/>
        </w:rPr>
        <w:t>2013</w:t>
      </w:r>
      <w:r w:rsidRPr="00235EDB">
        <w:rPr>
          <w:rFonts w:ascii="Microsoft Yahei" w:hAnsi="Microsoft Yahei" w:hint="eastAsia"/>
        </w:rPr>
        <w:t>年前后每桶</w:t>
      </w:r>
      <w:r w:rsidRPr="00235EDB">
        <w:rPr>
          <w:rFonts w:ascii="Microsoft Yahei" w:hAnsi="Microsoft Yahei"/>
        </w:rPr>
        <w:t>100</w:t>
      </w:r>
      <w:r w:rsidRPr="00235EDB">
        <w:rPr>
          <w:rFonts w:ascii="Microsoft Yahei" w:hAnsi="Microsoft Yahei" w:hint="eastAsia"/>
        </w:rPr>
        <w:t>美元的水平仅有理论上的可能性，而目前的国际油价也远远不能满足高度依赖原油出口的</w:t>
      </w:r>
      <w:r w:rsidRPr="00235EDB">
        <w:rPr>
          <w:rFonts w:ascii="Microsoft Yahei" w:hAnsi="Microsoft Yahei" w:hint="eastAsia"/>
        </w:rPr>
        <w:t>OPEC</w:t>
      </w:r>
      <w:r w:rsidRPr="00235EDB">
        <w:rPr>
          <w:rFonts w:ascii="Microsoft Yahei" w:hAnsi="Microsoft Yahei" w:hint="eastAsia"/>
        </w:rPr>
        <w:t>成员国的财政需求。</w:t>
      </w:r>
    </w:p>
    <w:p w:rsidR="00235EDB"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而打乱国际原油市场格局的就是美国页岩油的井喷。</w:t>
      </w:r>
      <w:r w:rsidRPr="00235EDB">
        <w:rPr>
          <w:rFonts w:ascii="Microsoft Yahei" w:hAnsi="Microsoft Yahei" w:hint="eastAsia"/>
        </w:rPr>
        <w:t>OPEC</w:t>
      </w:r>
      <w:r w:rsidRPr="00235EDB">
        <w:rPr>
          <w:rFonts w:ascii="Microsoft Yahei" w:hAnsi="Microsoft Yahei" w:hint="eastAsia"/>
        </w:rPr>
        <w:t>及非</w:t>
      </w:r>
      <w:r w:rsidRPr="00235EDB">
        <w:rPr>
          <w:rFonts w:ascii="Microsoft Yahei" w:hAnsi="Microsoft Yahei" w:hint="eastAsia"/>
        </w:rPr>
        <w:t>OPEC</w:t>
      </w:r>
      <w:r w:rsidRPr="00235EDB">
        <w:rPr>
          <w:rFonts w:ascii="Microsoft Yahei" w:hAnsi="Microsoft Yahei" w:hint="eastAsia"/>
        </w:rPr>
        <w:t>产油国限产让油价有所回暖，这导致不少页岩油钻井提高产量，在抵消传统产油国减产效果的同时也挤压了其市场占有率</w:t>
      </w:r>
      <w:r w:rsidRPr="00235EDB">
        <w:rPr>
          <w:rFonts w:ascii="Microsoft Yahei" w:hAnsi="Microsoft Yahei"/>
        </w:rPr>
        <w:t>。</w:t>
      </w:r>
    </w:p>
    <w:p w:rsidR="00235EDB" w:rsidRDefault="006C6637" w:rsidP="006C6637">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目前唯一对传统产油国有利的是全球经济回暖，国际原油需求量明年有望保持回</w:t>
      </w:r>
      <w:r>
        <w:rPr>
          <w:rFonts w:ascii="Microsoft Yahei" w:hAnsi="Microsoft Yahei" w:hint="eastAsia"/>
        </w:rPr>
        <w:t>暖趋势。这会在一定程度上缓解供大于求的局面，</w:t>
      </w:r>
      <w:r w:rsidRPr="00235EDB">
        <w:rPr>
          <w:rFonts w:ascii="Microsoft Yahei" w:hAnsi="Microsoft Yahei" w:hint="eastAsia"/>
        </w:rPr>
        <w:t>但</w:t>
      </w:r>
      <w:r>
        <w:rPr>
          <w:rFonts w:ascii="Microsoft Yahei" w:hAnsi="Microsoft Yahei" w:hint="eastAsia"/>
        </w:rPr>
        <w:t>后市油价走势</w:t>
      </w:r>
      <w:r w:rsidRPr="00235EDB">
        <w:rPr>
          <w:rFonts w:ascii="Microsoft Yahei" w:hAnsi="Microsoft Yahei" w:hint="eastAsia"/>
        </w:rPr>
        <w:t>究竟将</w:t>
      </w:r>
      <w:r>
        <w:rPr>
          <w:rFonts w:ascii="Microsoft Yahei" w:hAnsi="Microsoft Yahei" w:hint="eastAsia"/>
        </w:rPr>
        <w:t>如何变化，</w:t>
      </w:r>
      <w:r w:rsidRPr="00235EDB">
        <w:rPr>
          <w:rFonts w:ascii="Microsoft Yahei" w:hAnsi="Microsoft Yahei" w:hint="eastAsia"/>
        </w:rPr>
        <w:t>主要</w:t>
      </w:r>
      <w:r>
        <w:rPr>
          <w:rFonts w:ascii="Microsoft Yahei" w:hAnsi="Microsoft Yahei" w:hint="eastAsia"/>
        </w:rPr>
        <w:t>还是</w:t>
      </w:r>
      <w:r w:rsidRPr="00235EDB">
        <w:rPr>
          <w:rFonts w:ascii="Microsoft Yahei" w:hAnsi="Microsoft Yahei" w:hint="eastAsia"/>
        </w:rPr>
        <w:t>取决于页岩油增</w:t>
      </w:r>
      <w:r>
        <w:rPr>
          <w:rFonts w:ascii="Microsoft Yahei" w:hAnsi="Microsoft Yahei" w:hint="eastAsia"/>
        </w:rPr>
        <w:t>加的产量是否能抵消传统产油国减产的效果并满足全球原油需求的增长，而这不确定性仍较大</w:t>
      </w:r>
      <w:r w:rsidR="00235EDB">
        <w:rPr>
          <w:rFonts w:ascii="Microsoft Yahei" w:hAnsi="Microsoft Yahei" w:hint="eastAsia"/>
        </w:rPr>
        <w:t>。</w:t>
      </w:r>
    </w:p>
    <w:p w:rsidR="00235EDB" w:rsidRDefault="00235EDB" w:rsidP="00235EDB">
      <w:pPr>
        <w:pStyle w:val="af0"/>
        <w:spacing w:before="0" w:beforeAutospacing="0" w:after="0" w:afterAutospacing="0"/>
        <w:ind w:firstLine="442"/>
        <w:jc w:val="both"/>
        <w:rPr>
          <w:rFonts w:ascii="Microsoft Yahei" w:hAnsi="Microsoft Yahei" w:hint="eastAsia"/>
        </w:rPr>
      </w:pPr>
    </w:p>
    <w:p w:rsidR="00235EDB" w:rsidRDefault="00235EDB" w:rsidP="00235EDB">
      <w:pPr>
        <w:pStyle w:val="af0"/>
        <w:spacing w:before="0" w:beforeAutospacing="0" w:after="0" w:afterAutospacing="0"/>
        <w:ind w:firstLine="442"/>
        <w:jc w:val="both"/>
        <w:rPr>
          <w:rFonts w:ascii="Microsoft Yahei" w:hAnsi="Microsoft Yahei" w:hint="eastAsia"/>
        </w:rPr>
      </w:pPr>
    </w:p>
    <w:p w:rsidR="00235EDB" w:rsidRDefault="00235EDB" w:rsidP="00235EDB">
      <w:pPr>
        <w:pStyle w:val="af0"/>
        <w:spacing w:before="0" w:beforeAutospacing="0" w:after="0" w:afterAutospacing="0"/>
        <w:ind w:firstLine="442"/>
        <w:jc w:val="both"/>
        <w:rPr>
          <w:rFonts w:ascii="Microsoft Yahei" w:hAnsi="Microsoft Yahei" w:hint="eastAsia"/>
        </w:rPr>
      </w:pPr>
    </w:p>
    <w:p w:rsidR="00235EDB" w:rsidRDefault="00235EDB" w:rsidP="00235EDB">
      <w:pPr>
        <w:pStyle w:val="af0"/>
        <w:spacing w:before="0" w:beforeAutospacing="0" w:after="0" w:afterAutospacing="0"/>
        <w:ind w:firstLine="442"/>
        <w:jc w:val="both"/>
        <w:rPr>
          <w:rFonts w:ascii="Microsoft Yahei" w:hAnsi="Microsoft Yahei" w:hint="eastAsia"/>
        </w:rPr>
      </w:pPr>
    </w:p>
    <w:p w:rsidR="00AE53F9" w:rsidRDefault="00AE53F9" w:rsidP="00235EDB">
      <w:pPr>
        <w:pStyle w:val="af0"/>
        <w:spacing w:before="0" w:beforeAutospacing="0" w:after="0" w:afterAutospacing="0"/>
        <w:ind w:firstLine="442"/>
        <w:jc w:val="both"/>
        <w:rPr>
          <w:rFonts w:ascii="Microsoft Yahei" w:hAnsi="Microsoft Yahei" w:hint="eastAsia"/>
        </w:rPr>
      </w:pPr>
    </w:p>
    <w:p w:rsidR="00AE53F9" w:rsidRPr="00235EDB" w:rsidRDefault="00AE53F9" w:rsidP="00235EDB">
      <w:pPr>
        <w:pStyle w:val="af0"/>
        <w:spacing w:before="0" w:beforeAutospacing="0" w:after="0" w:afterAutospacing="0"/>
        <w:ind w:firstLine="442"/>
        <w:jc w:val="both"/>
        <w:rPr>
          <w:rFonts w:ascii="Microsoft Yahei" w:hAnsi="Microsoft Yahei" w:hint="eastAsia"/>
        </w:rPr>
      </w:pPr>
    </w:p>
    <w:p w:rsidR="000A4223" w:rsidRPr="00235EDB" w:rsidRDefault="007E585E" w:rsidP="00235EDB">
      <w:pPr>
        <w:pStyle w:val="1"/>
        <w:spacing w:beforeLines="0"/>
        <w:ind w:firstLineChars="0" w:firstLine="0"/>
        <w:rPr>
          <w:rStyle w:val="ab"/>
          <w:b/>
          <w:sz w:val="36"/>
          <w:szCs w:val="36"/>
        </w:rPr>
      </w:pPr>
      <w:r w:rsidRPr="007E585E">
        <w:rPr>
          <w:rFonts w:hint="eastAsia"/>
        </w:rPr>
        <w:lastRenderedPageBreak/>
        <w:t>1.</w:t>
      </w:r>
      <w:r w:rsidRPr="00235EDB">
        <w:rPr>
          <w:rStyle w:val="ab"/>
          <w:rFonts w:hint="eastAsia"/>
          <w:b/>
          <w:sz w:val="36"/>
          <w:szCs w:val="36"/>
        </w:rPr>
        <w:t>原油</w:t>
      </w:r>
      <w:r w:rsidR="00043E88" w:rsidRPr="00235EDB">
        <w:rPr>
          <w:rStyle w:val="ab"/>
          <w:rFonts w:hint="eastAsia"/>
          <w:b/>
          <w:sz w:val="36"/>
          <w:szCs w:val="36"/>
        </w:rPr>
        <w:t>市场行情回顾</w:t>
      </w:r>
    </w:p>
    <w:tbl>
      <w:tblPr>
        <w:tblW w:w="0" w:type="auto"/>
        <w:tblLook w:val="04A0"/>
      </w:tblPr>
      <w:tblGrid>
        <w:gridCol w:w="7642"/>
      </w:tblGrid>
      <w:tr w:rsidR="00DA0535" w:rsidRPr="00245761" w:rsidTr="00043E88">
        <w:tc>
          <w:tcPr>
            <w:tcW w:w="7642" w:type="dxa"/>
          </w:tcPr>
          <w:p w:rsidR="00DA0535" w:rsidRPr="00245761" w:rsidRDefault="00DA0535" w:rsidP="00043E88">
            <w:pPr>
              <w:ind w:firstLineChars="0" w:firstLine="0"/>
              <w:jc w:val="center"/>
              <w:rPr>
                <w:b/>
              </w:rPr>
            </w:pPr>
            <w:r w:rsidRPr="00245761">
              <w:rPr>
                <w:rFonts w:hint="eastAsia"/>
                <w:b/>
              </w:rPr>
              <w:t>图</w:t>
            </w:r>
            <w:r w:rsidRPr="00245761">
              <w:rPr>
                <w:b/>
              </w:rPr>
              <w:t>1</w:t>
            </w:r>
            <w:r>
              <w:rPr>
                <w:rFonts w:hint="eastAsia"/>
                <w:b/>
              </w:rPr>
              <w:t>：</w:t>
            </w:r>
            <w:r w:rsidR="00043E88">
              <w:rPr>
                <w:rFonts w:hint="eastAsia"/>
                <w:b/>
              </w:rPr>
              <w:t>WTI</w:t>
            </w:r>
            <w:r w:rsidR="00043E88">
              <w:rPr>
                <w:rFonts w:hint="eastAsia"/>
                <w:b/>
              </w:rPr>
              <w:t>原油期货主力合约走势</w:t>
            </w:r>
          </w:p>
        </w:tc>
      </w:tr>
      <w:tr w:rsidR="00DA0535" w:rsidRPr="00245761" w:rsidTr="00043E88">
        <w:tc>
          <w:tcPr>
            <w:tcW w:w="7642" w:type="dxa"/>
          </w:tcPr>
          <w:p w:rsidR="00DA0535" w:rsidRPr="00245761" w:rsidRDefault="001C7D9F" w:rsidP="00EF7F5F">
            <w:pPr>
              <w:ind w:firstLineChars="0" w:firstLine="0"/>
              <w:jc w:val="center"/>
            </w:pPr>
            <w:r>
              <w:rPr>
                <w:noProof/>
              </w:rPr>
              <w:drawing>
                <wp:inline distT="0" distB="0" distL="0" distR="0">
                  <wp:extent cx="4714875" cy="3019425"/>
                  <wp:effectExtent l="1905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714875" cy="3019425"/>
                          </a:xfrm>
                          <a:prstGeom prst="rect">
                            <a:avLst/>
                          </a:prstGeom>
                          <a:noFill/>
                          <a:ln w="9525">
                            <a:noFill/>
                            <a:miter lim="800000"/>
                            <a:headEnd/>
                            <a:tailEnd/>
                          </a:ln>
                        </pic:spPr>
                      </pic:pic>
                    </a:graphicData>
                  </a:graphic>
                </wp:inline>
              </w:drawing>
            </w:r>
          </w:p>
        </w:tc>
      </w:tr>
      <w:tr w:rsidR="00DA0535" w:rsidRPr="00245761" w:rsidTr="00043E88">
        <w:tc>
          <w:tcPr>
            <w:tcW w:w="7642" w:type="dxa"/>
          </w:tcPr>
          <w:p w:rsidR="00DA0535" w:rsidRPr="00310922" w:rsidRDefault="00310922" w:rsidP="00043E88">
            <w:pPr>
              <w:ind w:firstLineChars="0" w:firstLine="0"/>
              <w:jc w:val="center"/>
              <w:rPr>
                <w:rFonts w:ascii="华文细黑" w:hAnsi="华文细黑"/>
                <w:sz w:val="18"/>
                <w:szCs w:val="18"/>
              </w:rPr>
            </w:pPr>
            <w:r>
              <w:rPr>
                <w:rFonts w:ascii="华文细黑" w:hAnsi="华文细黑" w:hint="eastAsia"/>
                <w:sz w:val="18"/>
                <w:szCs w:val="18"/>
              </w:rPr>
              <w:t xml:space="preserve">    </w:t>
            </w:r>
            <w:r w:rsidR="00DA0535" w:rsidRPr="00310922">
              <w:rPr>
                <w:rFonts w:ascii="华文细黑" w:hAnsi="华文细黑" w:hint="eastAsia"/>
                <w:sz w:val="18"/>
                <w:szCs w:val="18"/>
              </w:rPr>
              <w:t>数据来源：</w:t>
            </w:r>
            <w:r w:rsidR="00043E88" w:rsidRPr="00310922">
              <w:rPr>
                <w:rFonts w:ascii="华文细黑" w:hAnsi="华文细黑" w:hint="eastAsia"/>
                <w:sz w:val="18"/>
                <w:szCs w:val="18"/>
              </w:rPr>
              <w:t>文华财经</w:t>
            </w:r>
            <w:r w:rsidR="00DA0535" w:rsidRPr="00310922">
              <w:rPr>
                <w:rFonts w:ascii="华文细黑" w:hAnsi="华文细黑"/>
                <w:sz w:val="18"/>
                <w:szCs w:val="18"/>
              </w:rPr>
              <w:t>，</w:t>
            </w:r>
            <w:proofErr w:type="gramStart"/>
            <w:r w:rsidR="00DA0535" w:rsidRPr="00310922">
              <w:rPr>
                <w:rFonts w:ascii="华文细黑" w:hAnsi="华文细黑" w:hint="eastAsia"/>
                <w:sz w:val="18"/>
                <w:szCs w:val="18"/>
              </w:rPr>
              <w:t>兴证期货</w:t>
            </w:r>
            <w:proofErr w:type="gramEnd"/>
            <w:r w:rsidR="00DA0535" w:rsidRPr="00310922">
              <w:rPr>
                <w:rFonts w:ascii="华文细黑" w:hAnsi="华文细黑" w:hint="eastAsia"/>
                <w:sz w:val="18"/>
                <w:szCs w:val="18"/>
              </w:rPr>
              <w:t xml:space="preserve">研发部 </w:t>
            </w:r>
          </w:p>
        </w:tc>
      </w:tr>
    </w:tbl>
    <w:p w:rsidR="00043E88" w:rsidRPr="00235EDB" w:rsidRDefault="001C7D9F" w:rsidP="00AE53F9">
      <w:pPr>
        <w:pStyle w:val="af0"/>
        <w:spacing w:before="0" w:beforeAutospacing="0"/>
        <w:ind w:firstLine="442"/>
        <w:jc w:val="both"/>
        <w:rPr>
          <w:rFonts w:ascii="Microsoft Yahei" w:hAnsi="Microsoft Yahei" w:hint="eastAsia"/>
        </w:rPr>
      </w:pPr>
      <w:r w:rsidRPr="00235EDB">
        <w:rPr>
          <w:rFonts w:ascii="Microsoft Yahei" w:hAnsi="Microsoft Yahei" w:hint="eastAsia"/>
        </w:rPr>
        <w:t>11</w:t>
      </w:r>
      <w:r w:rsidR="00310922" w:rsidRPr="00235EDB">
        <w:rPr>
          <w:rFonts w:ascii="Microsoft Yahei" w:hAnsi="Microsoft Yahei" w:hint="eastAsia"/>
        </w:rPr>
        <w:t>月份国际原油期货价格</w:t>
      </w:r>
      <w:r w:rsidRPr="00235EDB">
        <w:rPr>
          <w:rFonts w:ascii="Microsoft Yahei" w:hAnsi="Microsoft Yahei" w:hint="eastAsia"/>
        </w:rPr>
        <w:t>延续震荡</w:t>
      </w:r>
      <w:r w:rsidR="00310922" w:rsidRPr="00235EDB">
        <w:rPr>
          <w:rFonts w:ascii="Microsoft Yahei" w:hAnsi="Microsoft Yahei" w:hint="eastAsia"/>
        </w:rPr>
        <w:t>上扬</w:t>
      </w:r>
      <w:r w:rsidRPr="00235EDB">
        <w:rPr>
          <w:rFonts w:ascii="Microsoft Yahei" w:hAnsi="Microsoft Yahei" w:hint="eastAsia"/>
        </w:rPr>
        <w:t>格局。</w:t>
      </w:r>
      <w:r w:rsidRPr="00235EDB">
        <w:rPr>
          <w:rFonts w:ascii="Microsoft Yahei" w:hAnsi="Microsoft Yahei" w:hint="eastAsia"/>
        </w:rPr>
        <w:t>WTI</w:t>
      </w:r>
      <w:r w:rsidRPr="00235EDB">
        <w:rPr>
          <w:rFonts w:ascii="Microsoft Yahei" w:hAnsi="Microsoft Yahei" w:hint="eastAsia"/>
        </w:rPr>
        <w:t>主力合约月度上涨</w:t>
      </w:r>
      <w:r w:rsidRPr="00235EDB">
        <w:rPr>
          <w:rFonts w:ascii="Microsoft Yahei" w:hAnsi="Microsoft Yahei" w:hint="eastAsia"/>
        </w:rPr>
        <w:t>3.65</w:t>
      </w:r>
      <w:r w:rsidRPr="00235EDB">
        <w:rPr>
          <w:rFonts w:ascii="Microsoft Yahei" w:hAnsi="Microsoft Yahei" w:hint="eastAsia"/>
        </w:rPr>
        <w:t>美元</w:t>
      </w:r>
      <w:r w:rsidRPr="00235EDB">
        <w:rPr>
          <w:rFonts w:ascii="Microsoft Yahei" w:hAnsi="Microsoft Yahei" w:hint="eastAsia"/>
        </w:rPr>
        <w:t>/</w:t>
      </w:r>
      <w:r w:rsidRPr="00235EDB">
        <w:rPr>
          <w:rFonts w:ascii="Microsoft Yahei" w:hAnsi="Microsoft Yahei" w:hint="eastAsia"/>
        </w:rPr>
        <w:t>桶，涨幅</w:t>
      </w:r>
      <w:r w:rsidRPr="00235EDB">
        <w:rPr>
          <w:rFonts w:ascii="Microsoft Yahei" w:hAnsi="Microsoft Yahei" w:hint="eastAsia"/>
        </w:rPr>
        <w:t>6.68%</w:t>
      </w:r>
      <w:r w:rsidRPr="00235EDB">
        <w:rPr>
          <w:rFonts w:ascii="Microsoft Yahei" w:hAnsi="Microsoft Yahei" w:hint="eastAsia"/>
        </w:rPr>
        <w:t>，截至月末收于</w:t>
      </w:r>
      <w:r w:rsidRPr="00235EDB">
        <w:rPr>
          <w:rFonts w:ascii="Microsoft Yahei" w:hAnsi="Microsoft Yahei" w:hint="eastAsia"/>
        </w:rPr>
        <w:t>58.29</w:t>
      </w:r>
      <w:r w:rsidRPr="00235EDB">
        <w:rPr>
          <w:rFonts w:ascii="Microsoft Yahei" w:hAnsi="Microsoft Yahei" w:hint="eastAsia"/>
        </w:rPr>
        <w:t>美元</w:t>
      </w:r>
      <w:r w:rsidRPr="00235EDB">
        <w:rPr>
          <w:rFonts w:ascii="Microsoft Yahei" w:hAnsi="Microsoft Yahei" w:hint="eastAsia"/>
        </w:rPr>
        <w:t>/</w:t>
      </w:r>
      <w:r w:rsidRPr="00235EDB">
        <w:rPr>
          <w:rFonts w:ascii="Microsoft Yahei" w:hAnsi="Microsoft Yahei" w:hint="eastAsia"/>
        </w:rPr>
        <w:t>桶，是自</w:t>
      </w:r>
      <w:r w:rsidRPr="00235EDB">
        <w:rPr>
          <w:rFonts w:ascii="Microsoft Yahei" w:hAnsi="Microsoft Yahei" w:hint="eastAsia"/>
        </w:rPr>
        <w:t>2015</w:t>
      </w:r>
      <w:r w:rsidRPr="00235EDB">
        <w:rPr>
          <w:rFonts w:ascii="Microsoft Yahei" w:hAnsi="Microsoft Yahei" w:hint="eastAsia"/>
        </w:rPr>
        <w:t>年</w:t>
      </w:r>
      <w:r w:rsidRPr="00235EDB">
        <w:rPr>
          <w:rFonts w:ascii="Microsoft Yahei" w:hAnsi="Microsoft Yahei" w:hint="eastAsia"/>
        </w:rPr>
        <w:t>7</w:t>
      </w:r>
      <w:r w:rsidRPr="00235EDB">
        <w:rPr>
          <w:rFonts w:ascii="Microsoft Yahei" w:hAnsi="Microsoft Yahei" w:hint="eastAsia"/>
        </w:rPr>
        <w:t>月以来的新高。从月线来看，已经连续</w:t>
      </w:r>
      <w:r w:rsidRPr="00235EDB">
        <w:rPr>
          <w:rFonts w:ascii="Microsoft Yahei" w:hAnsi="Microsoft Yahei" w:hint="eastAsia"/>
        </w:rPr>
        <w:t>3</w:t>
      </w:r>
      <w:r w:rsidRPr="00235EDB">
        <w:rPr>
          <w:rFonts w:ascii="Microsoft Yahei" w:hAnsi="Microsoft Yahei" w:hint="eastAsia"/>
        </w:rPr>
        <w:t>个月收阳线。</w:t>
      </w:r>
    </w:p>
    <w:p w:rsidR="00043E88" w:rsidRDefault="00043E88" w:rsidP="00AE53F9">
      <w:pPr>
        <w:ind w:firstLine="440"/>
        <w:jc w:val="center"/>
      </w:pPr>
      <w:r w:rsidRPr="00245761">
        <w:rPr>
          <w:rFonts w:hint="eastAsia"/>
          <w:b/>
        </w:rPr>
        <w:t>图</w:t>
      </w:r>
      <w:r>
        <w:rPr>
          <w:rFonts w:hint="eastAsia"/>
          <w:b/>
        </w:rPr>
        <w:t>2</w:t>
      </w:r>
      <w:r>
        <w:rPr>
          <w:rFonts w:hint="eastAsia"/>
          <w:b/>
        </w:rPr>
        <w:t>：布伦</w:t>
      </w:r>
      <w:proofErr w:type="gramStart"/>
      <w:r>
        <w:rPr>
          <w:rFonts w:hint="eastAsia"/>
          <w:b/>
        </w:rPr>
        <w:t>特</w:t>
      </w:r>
      <w:proofErr w:type="gramEnd"/>
      <w:r>
        <w:rPr>
          <w:rFonts w:hint="eastAsia"/>
          <w:b/>
        </w:rPr>
        <w:t>原油期货主力合约走势</w:t>
      </w:r>
    </w:p>
    <w:p w:rsidR="00DA0535" w:rsidRPr="00043E88" w:rsidRDefault="001C7D9F" w:rsidP="00043E88">
      <w:pPr>
        <w:ind w:firstLineChars="90" w:firstLine="198"/>
      </w:pPr>
      <w:r>
        <w:rPr>
          <w:noProof/>
        </w:rPr>
        <w:drawing>
          <wp:inline distT="0" distB="0" distL="0" distR="0">
            <wp:extent cx="4715510" cy="2962275"/>
            <wp:effectExtent l="1905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715510" cy="2962275"/>
                    </a:xfrm>
                    <a:prstGeom prst="rect">
                      <a:avLst/>
                    </a:prstGeom>
                    <a:noFill/>
                    <a:ln w="9525">
                      <a:noFill/>
                      <a:miter lim="800000"/>
                      <a:headEnd/>
                      <a:tailEnd/>
                    </a:ln>
                  </pic:spPr>
                </pic:pic>
              </a:graphicData>
            </a:graphic>
          </wp:inline>
        </w:drawing>
      </w:r>
    </w:p>
    <w:p w:rsidR="00043E88" w:rsidRPr="00310922" w:rsidRDefault="00043E88" w:rsidP="00310922">
      <w:pPr>
        <w:ind w:firstLine="360"/>
        <w:jc w:val="center"/>
        <w:rPr>
          <w:sz w:val="18"/>
          <w:szCs w:val="18"/>
        </w:rPr>
      </w:pPr>
      <w:r w:rsidRPr="00310922">
        <w:rPr>
          <w:rFonts w:ascii="华文细黑" w:hAnsi="华文细黑" w:hint="eastAsia"/>
          <w:sz w:val="18"/>
          <w:szCs w:val="18"/>
        </w:rPr>
        <w:t>数据来源：文华财经</w:t>
      </w:r>
      <w:r w:rsidRPr="00310922">
        <w:rPr>
          <w:rFonts w:ascii="华文细黑" w:hAnsi="华文细黑"/>
          <w:sz w:val="18"/>
          <w:szCs w:val="18"/>
        </w:rPr>
        <w:t>，</w:t>
      </w:r>
      <w:proofErr w:type="gramStart"/>
      <w:r w:rsidRPr="00310922">
        <w:rPr>
          <w:rFonts w:ascii="华文细黑" w:hAnsi="华文细黑" w:hint="eastAsia"/>
          <w:sz w:val="18"/>
          <w:szCs w:val="18"/>
        </w:rPr>
        <w:t>兴证期货</w:t>
      </w:r>
      <w:proofErr w:type="gramEnd"/>
      <w:r w:rsidRPr="00310922">
        <w:rPr>
          <w:rFonts w:ascii="华文细黑" w:hAnsi="华文细黑" w:hint="eastAsia"/>
          <w:sz w:val="18"/>
          <w:szCs w:val="18"/>
        </w:rPr>
        <w:t>研发部</w:t>
      </w:r>
    </w:p>
    <w:p w:rsidR="00043E88" w:rsidRPr="00235EDB" w:rsidRDefault="001C7D9F" w:rsidP="00235EDB">
      <w:pPr>
        <w:ind w:firstLine="480"/>
        <w:rPr>
          <w:rFonts w:ascii="Microsoft Yahei" w:eastAsia="宋体" w:hAnsi="Microsoft Yahei" w:cs="宋体" w:hint="eastAsia"/>
          <w:kern w:val="0"/>
          <w:sz w:val="24"/>
        </w:rPr>
      </w:pPr>
      <w:r w:rsidRPr="00235EDB">
        <w:rPr>
          <w:rFonts w:ascii="Microsoft Yahei" w:eastAsia="宋体" w:hAnsi="Microsoft Yahei" w:cs="宋体" w:hint="eastAsia"/>
          <w:kern w:val="0"/>
          <w:sz w:val="24"/>
        </w:rPr>
        <w:t>同样</w:t>
      </w:r>
      <w:r w:rsidR="00043E88" w:rsidRPr="00235EDB">
        <w:rPr>
          <w:rFonts w:ascii="Microsoft Yahei" w:eastAsia="宋体" w:hAnsi="Microsoft Yahei" w:cs="宋体" w:hint="eastAsia"/>
          <w:kern w:val="0"/>
          <w:sz w:val="24"/>
        </w:rPr>
        <w:t>布伦</w:t>
      </w:r>
      <w:proofErr w:type="gramStart"/>
      <w:r w:rsidR="00310922" w:rsidRPr="00235EDB">
        <w:rPr>
          <w:rFonts w:ascii="Microsoft Yahei" w:eastAsia="宋体" w:hAnsi="Microsoft Yahei" w:cs="宋体" w:hint="eastAsia"/>
          <w:kern w:val="0"/>
          <w:sz w:val="24"/>
        </w:rPr>
        <w:t>特</w:t>
      </w:r>
      <w:proofErr w:type="gramEnd"/>
      <w:r w:rsidR="00310922" w:rsidRPr="00235EDB">
        <w:rPr>
          <w:rFonts w:ascii="Microsoft Yahei" w:eastAsia="宋体" w:hAnsi="Microsoft Yahei" w:cs="宋体" w:hint="eastAsia"/>
          <w:kern w:val="0"/>
          <w:sz w:val="24"/>
        </w:rPr>
        <w:t>原油期货</w:t>
      </w:r>
      <w:r w:rsidRPr="00235EDB">
        <w:rPr>
          <w:rFonts w:ascii="Microsoft Yahei" w:eastAsia="宋体" w:hAnsi="Microsoft Yahei" w:cs="宋体" w:hint="eastAsia"/>
          <w:kern w:val="0"/>
          <w:sz w:val="24"/>
        </w:rPr>
        <w:t>价格也是持续上扬，</w:t>
      </w:r>
      <w:r w:rsidRPr="00235EDB">
        <w:rPr>
          <w:rFonts w:ascii="Microsoft Yahei" w:eastAsia="宋体" w:hAnsi="Microsoft Yahei" w:cs="宋体" w:hint="eastAsia"/>
          <w:kern w:val="0"/>
          <w:sz w:val="24"/>
        </w:rPr>
        <w:t>11</w:t>
      </w:r>
      <w:r w:rsidRPr="00235EDB">
        <w:rPr>
          <w:rFonts w:ascii="Microsoft Yahei" w:eastAsia="宋体" w:hAnsi="Microsoft Yahei" w:cs="宋体" w:hint="eastAsia"/>
          <w:kern w:val="0"/>
          <w:sz w:val="24"/>
        </w:rPr>
        <w:t>月主力合约共</w:t>
      </w:r>
      <w:r w:rsidR="00310922" w:rsidRPr="00235EDB">
        <w:rPr>
          <w:rFonts w:ascii="Microsoft Yahei" w:eastAsia="宋体" w:hAnsi="Microsoft Yahei" w:cs="宋体" w:hint="eastAsia"/>
          <w:kern w:val="0"/>
          <w:sz w:val="24"/>
        </w:rPr>
        <w:t>上涨</w:t>
      </w:r>
      <w:r w:rsidRPr="00235EDB">
        <w:rPr>
          <w:rFonts w:ascii="Microsoft Yahei" w:eastAsia="宋体" w:hAnsi="Microsoft Yahei" w:cs="宋体" w:hint="eastAsia"/>
          <w:kern w:val="0"/>
          <w:sz w:val="24"/>
        </w:rPr>
        <w:t>2.52</w:t>
      </w:r>
      <w:r w:rsidR="00310922" w:rsidRPr="00235EDB">
        <w:rPr>
          <w:rFonts w:ascii="Microsoft Yahei" w:eastAsia="宋体" w:hAnsi="Microsoft Yahei" w:cs="宋体" w:hint="eastAsia"/>
          <w:kern w:val="0"/>
          <w:sz w:val="24"/>
        </w:rPr>
        <w:t>美元，涨幅</w:t>
      </w:r>
      <w:r w:rsidRPr="00235EDB">
        <w:rPr>
          <w:rFonts w:ascii="Microsoft Yahei" w:eastAsia="宋体" w:hAnsi="Microsoft Yahei" w:cs="宋体" w:hint="eastAsia"/>
          <w:kern w:val="0"/>
          <w:sz w:val="24"/>
        </w:rPr>
        <w:t>4.12</w:t>
      </w:r>
      <w:r w:rsidR="00310922" w:rsidRPr="00235EDB">
        <w:rPr>
          <w:rFonts w:ascii="Microsoft Yahei" w:eastAsia="宋体" w:hAnsi="Microsoft Yahei" w:cs="宋体" w:hint="eastAsia"/>
          <w:kern w:val="0"/>
          <w:sz w:val="24"/>
        </w:rPr>
        <w:t>%</w:t>
      </w:r>
      <w:r w:rsidR="00310922" w:rsidRPr="00235EDB">
        <w:rPr>
          <w:rFonts w:ascii="Microsoft Yahei" w:eastAsia="宋体" w:hAnsi="Microsoft Yahei" w:cs="宋体" w:hint="eastAsia"/>
          <w:kern w:val="0"/>
          <w:sz w:val="24"/>
        </w:rPr>
        <w:t>，</w:t>
      </w:r>
      <w:r w:rsidRPr="00235EDB">
        <w:rPr>
          <w:rFonts w:ascii="Microsoft Yahei" w:eastAsia="宋体" w:hAnsi="Microsoft Yahei" w:cs="宋体" w:hint="eastAsia"/>
          <w:kern w:val="0"/>
          <w:sz w:val="24"/>
        </w:rPr>
        <w:t>截至月末收于</w:t>
      </w:r>
      <w:r w:rsidRPr="00235EDB">
        <w:rPr>
          <w:rFonts w:ascii="Microsoft Yahei" w:eastAsia="宋体" w:hAnsi="Microsoft Yahei" w:cs="宋体" w:hint="eastAsia"/>
          <w:kern w:val="0"/>
          <w:sz w:val="24"/>
        </w:rPr>
        <w:t>63.7</w:t>
      </w:r>
      <w:r w:rsidRPr="00235EDB">
        <w:rPr>
          <w:rFonts w:ascii="Microsoft Yahei" w:eastAsia="宋体" w:hAnsi="Microsoft Yahei" w:cs="宋体" w:hint="eastAsia"/>
          <w:kern w:val="0"/>
          <w:sz w:val="24"/>
        </w:rPr>
        <w:t>美元</w:t>
      </w:r>
      <w:r w:rsidRPr="00235EDB">
        <w:rPr>
          <w:rFonts w:ascii="Microsoft Yahei" w:eastAsia="宋体" w:hAnsi="Microsoft Yahei" w:cs="宋体" w:hint="eastAsia"/>
          <w:kern w:val="0"/>
          <w:sz w:val="24"/>
        </w:rPr>
        <w:t>/</w:t>
      </w:r>
      <w:r w:rsidRPr="00235EDB">
        <w:rPr>
          <w:rFonts w:ascii="Microsoft Yahei" w:eastAsia="宋体" w:hAnsi="Microsoft Yahei" w:cs="宋体" w:hint="eastAsia"/>
          <w:kern w:val="0"/>
          <w:sz w:val="24"/>
        </w:rPr>
        <w:t>桶，创</w:t>
      </w:r>
      <w:r w:rsidR="00310922" w:rsidRPr="00235EDB">
        <w:rPr>
          <w:rFonts w:ascii="Microsoft Yahei" w:eastAsia="宋体" w:hAnsi="Microsoft Yahei" w:cs="宋体" w:hint="eastAsia"/>
          <w:kern w:val="0"/>
          <w:sz w:val="24"/>
        </w:rPr>
        <w:t>下</w:t>
      </w:r>
      <w:r w:rsidR="00310922" w:rsidRPr="00235EDB">
        <w:rPr>
          <w:rFonts w:ascii="Microsoft Yahei" w:eastAsia="宋体" w:hAnsi="Microsoft Yahei" w:cs="宋体" w:hint="eastAsia"/>
          <w:kern w:val="0"/>
          <w:sz w:val="24"/>
        </w:rPr>
        <w:t>2015</w:t>
      </w:r>
      <w:r w:rsidR="00310922" w:rsidRPr="00235EDB">
        <w:rPr>
          <w:rFonts w:ascii="Microsoft Yahei" w:eastAsia="宋体" w:hAnsi="Microsoft Yahei" w:cs="宋体" w:hint="eastAsia"/>
          <w:kern w:val="0"/>
          <w:sz w:val="24"/>
        </w:rPr>
        <w:t>年</w:t>
      </w:r>
      <w:r w:rsidRPr="00235EDB">
        <w:rPr>
          <w:rFonts w:ascii="Microsoft Yahei" w:eastAsia="宋体" w:hAnsi="Microsoft Yahei" w:cs="宋体" w:hint="eastAsia"/>
          <w:kern w:val="0"/>
          <w:sz w:val="24"/>
        </w:rPr>
        <w:t>6</w:t>
      </w:r>
      <w:r w:rsidR="00310922" w:rsidRPr="00235EDB">
        <w:rPr>
          <w:rFonts w:ascii="Microsoft Yahei" w:eastAsia="宋体" w:hAnsi="Microsoft Yahei" w:cs="宋体" w:hint="eastAsia"/>
          <w:kern w:val="0"/>
          <w:sz w:val="24"/>
        </w:rPr>
        <w:t>月以来</w:t>
      </w:r>
      <w:r w:rsidR="00310922" w:rsidRPr="00235EDB">
        <w:rPr>
          <w:rFonts w:ascii="Microsoft Yahei" w:eastAsia="宋体" w:hAnsi="Microsoft Yahei" w:cs="宋体" w:hint="eastAsia"/>
          <w:kern w:val="0"/>
          <w:sz w:val="24"/>
        </w:rPr>
        <w:lastRenderedPageBreak/>
        <w:t>新高。</w:t>
      </w:r>
    </w:p>
    <w:p w:rsidR="00043E88" w:rsidRDefault="007E585E" w:rsidP="007E585E">
      <w:pPr>
        <w:pStyle w:val="1"/>
        <w:spacing w:beforeLines="0"/>
        <w:ind w:firstLineChars="0" w:firstLine="0"/>
      </w:pPr>
      <w:r>
        <w:rPr>
          <w:rFonts w:hint="eastAsia"/>
        </w:rPr>
        <w:t>2.</w:t>
      </w:r>
      <w:r w:rsidR="00043E88">
        <w:rPr>
          <w:rFonts w:hint="eastAsia"/>
        </w:rPr>
        <w:t>基本面</w:t>
      </w:r>
      <w:r w:rsidR="00310922" w:rsidRPr="00310922">
        <w:rPr>
          <w:rFonts w:hint="eastAsia"/>
        </w:rPr>
        <w:t>分析</w:t>
      </w:r>
    </w:p>
    <w:p w:rsidR="001C7D9F" w:rsidRPr="00DA0535" w:rsidRDefault="001C7D9F" w:rsidP="001C7D9F">
      <w:pPr>
        <w:pStyle w:val="2"/>
        <w:spacing w:beforeLines="0"/>
        <w:ind w:firstLineChars="0" w:firstLine="0"/>
      </w:pPr>
      <w:r>
        <w:rPr>
          <w:rFonts w:hint="eastAsia"/>
        </w:rPr>
        <w:t>2.1</w:t>
      </w:r>
      <w:r w:rsidR="00235EDB">
        <w:rPr>
          <w:rFonts w:hint="eastAsia"/>
        </w:rPr>
        <w:t xml:space="preserve"> </w:t>
      </w:r>
      <w:r w:rsidR="00235EDB" w:rsidRPr="00235EDB">
        <w:rPr>
          <w:rFonts w:hint="eastAsia"/>
        </w:rPr>
        <w:t>OPEC</w:t>
      </w:r>
      <w:r w:rsidR="00235EDB" w:rsidRPr="00235EDB">
        <w:rPr>
          <w:rFonts w:hint="eastAsia"/>
        </w:rPr>
        <w:t>延长减产协议至</w:t>
      </w:r>
      <w:r w:rsidR="00235EDB" w:rsidRPr="00235EDB">
        <w:rPr>
          <w:rFonts w:hint="eastAsia"/>
        </w:rPr>
        <w:t>2018</w:t>
      </w:r>
      <w:r w:rsidR="00235EDB" w:rsidRPr="00235EDB">
        <w:rPr>
          <w:rFonts w:hint="eastAsia"/>
        </w:rPr>
        <w:t>年底</w:t>
      </w:r>
    </w:p>
    <w:p w:rsidR="00235EDB" w:rsidRDefault="00310922" w:rsidP="00235EDB">
      <w:pPr>
        <w:ind w:firstLine="480"/>
        <w:rPr>
          <w:rFonts w:ascii="Microsoft Yahei" w:eastAsia="宋体" w:hAnsi="Microsoft Yahei" w:cs="宋体" w:hint="eastAsia"/>
          <w:kern w:val="0"/>
          <w:sz w:val="24"/>
        </w:rPr>
      </w:pPr>
      <w:r w:rsidRPr="00235EDB">
        <w:rPr>
          <w:rFonts w:ascii="Microsoft Yahei" w:eastAsia="宋体" w:hAnsi="Microsoft Yahei" w:cs="宋体" w:hint="eastAsia"/>
          <w:kern w:val="0"/>
          <w:sz w:val="24"/>
        </w:rPr>
        <w:t>1</w:t>
      </w:r>
      <w:r w:rsidR="001C7D9F" w:rsidRPr="00235EDB">
        <w:rPr>
          <w:rFonts w:ascii="Microsoft Yahei" w:eastAsia="宋体" w:hAnsi="Microsoft Yahei" w:cs="宋体" w:hint="eastAsia"/>
          <w:kern w:val="0"/>
          <w:sz w:val="24"/>
        </w:rPr>
        <w:t>1</w:t>
      </w:r>
      <w:r w:rsidRPr="00235EDB">
        <w:rPr>
          <w:rFonts w:ascii="Microsoft Yahei" w:eastAsia="宋体" w:hAnsi="Microsoft Yahei" w:cs="宋体" w:hint="eastAsia"/>
          <w:kern w:val="0"/>
          <w:sz w:val="24"/>
        </w:rPr>
        <w:t>月</w:t>
      </w:r>
      <w:r w:rsidR="001C7D9F" w:rsidRPr="00235EDB">
        <w:rPr>
          <w:rFonts w:ascii="Microsoft Yahei" w:eastAsia="宋体" w:hAnsi="Microsoft Yahei" w:cs="宋体" w:hint="eastAsia"/>
          <w:kern w:val="0"/>
          <w:sz w:val="24"/>
        </w:rPr>
        <w:t>国际油市最重要的事件莫过于</w:t>
      </w:r>
      <w:r w:rsidR="001C7D9F" w:rsidRPr="00235EDB">
        <w:rPr>
          <w:rFonts w:ascii="Microsoft Yahei" w:eastAsia="宋体" w:hAnsi="Microsoft Yahei" w:cs="宋体" w:hint="eastAsia"/>
          <w:kern w:val="0"/>
          <w:sz w:val="24"/>
        </w:rPr>
        <w:t>OPEC</w:t>
      </w:r>
      <w:r w:rsidR="001C7D9F" w:rsidRPr="00235EDB">
        <w:rPr>
          <w:rFonts w:ascii="Microsoft Yahei" w:eastAsia="宋体" w:hAnsi="Microsoft Yahei" w:cs="宋体" w:hint="eastAsia"/>
          <w:kern w:val="0"/>
          <w:sz w:val="24"/>
        </w:rPr>
        <w:t>会议。此次会议在北京时间</w:t>
      </w:r>
      <w:r w:rsidR="001C7D9F" w:rsidRPr="00235EDB">
        <w:rPr>
          <w:rFonts w:ascii="Microsoft Yahei" w:eastAsia="宋体" w:hAnsi="Microsoft Yahei" w:cs="宋体" w:hint="eastAsia"/>
          <w:kern w:val="0"/>
          <w:sz w:val="24"/>
        </w:rPr>
        <w:t>11</w:t>
      </w:r>
      <w:r w:rsidR="001C7D9F" w:rsidRPr="00235EDB">
        <w:rPr>
          <w:rFonts w:ascii="Microsoft Yahei" w:eastAsia="宋体" w:hAnsi="Microsoft Yahei" w:cs="宋体" w:hint="eastAsia"/>
          <w:kern w:val="0"/>
          <w:sz w:val="24"/>
        </w:rPr>
        <w:t>月</w:t>
      </w:r>
      <w:r w:rsidR="001C7D9F" w:rsidRPr="00235EDB">
        <w:rPr>
          <w:rFonts w:ascii="Microsoft Yahei" w:eastAsia="宋体" w:hAnsi="Microsoft Yahei" w:cs="宋体" w:hint="eastAsia"/>
          <w:kern w:val="0"/>
          <w:sz w:val="24"/>
        </w:rPr>
        <w:t>30</w:t>
      </w:r>
      <w:r w:rsidR="001C7D9F" w:rsidRPr="00235EDB">
        <w:rPr>
          <w:rFonts w:ascii="Microsoft Yahei" w:eastAsia="宋体" w:hAnsi="Microsoft Yahei" w:cs="宋体" w:hint="eastAsia"/>
          <w:kern w:val="0"/>
          <w:sz w:val="24"/>
        </w:rPr>
        <w:t>日下午</w:t>
      </w:r>
      <w:r w:rsidR="001C7D9F" w:rsidRPr="00235EDB">
        <w:rPr>
          <w:rFonts w:ascii="Microsoft Yahei" w:eastAsia="宋体" w:hAnsi="Microsoft Yahei" w:cs="宋体" w:hint="eastAsia"/>
          <w:kern w:val="0"/>
          <w:sz w:val="24"/>
        </w:rPr>
        <w:t>17:00</w:t>
      </w:r>
      <w:r w:rsidR="001C7D9F" w:rsidRPr="00235EDB">
        <w:rPr>
          <w:rFonts w:ascii="Microsoft Yahei" w:eastAsia="宋体" w:hAnsi="Microsoft Yahei" w:cs="宋体" w:hint="eastAsia"/>
          <w:kern w:val="0"/>
          <w:sz w:val="24"/>
        </w:rPr>
        <w:t>召开，会议结果显示参会各方一致同意，继续按照</w:t>
      </w:r>
      <w:r w:rsidR="001C7D9F" w:rsidRPr="00235EDB">
        <w:rPr>
          <w:rFonts w:ascii="Microsoft Yahei" w:eastAsia="宋体" w:hAnsi="Microsoft Yahei" w:cs="宋体" w:hint="eastAsia"/>
          <w:kern w:val="0"/>
          <w:sz w:val="24"/>
        </w:rPr>
        <w:t>OPEC120</w:t>
      </w:r>
      <w:r w:rsidR="001C7D9F" w:rsidRPr="00235EDB">
        <w:rPr>
          <w:rFonts w:ascii="Microsoft Yahei" w:eastAsia="宋体" w:hAnsi="Microsoft Yahei" w:cs="宋体" w:hint="eastAsia"/>
          <w:kern w:val="0"/>
          <w:sz w:val="24"/>
        </w:rPr>
        <w:t>万桶</w:t>
      </w:r>
      <w:r w:rsidR="001C7D9F" w:rsidRPr="00235EDB">
        <w:rPr>
          <w:rFonts w:ascii="Microsoft Yahei" w:eastAsia="宋体" w:hAnsi="Microsoft Yahei" w:cs="宋体" w:hint="eastAsia"/>
          <w:kern w:val="0"/>
          <w:sz w:val="24"/>
        </w:rPr>
        <w:t>/</w:t>
      </w:r>
      <w:r w:rsidR="001C7D9F" w:rsidRPr="00235EDB">
        <w:rPr>
          <w:rFonts w:ascii="Microsoft Yahei" w:eastAsia="宋体" w:hAnsi="Microsoft Yahei" w:cs="宋体" w:hint="eastAsia"/>
          <w:kern w:val="0"/>
          <w:sz w:val="24"/>
        </w:rPr>
        <w:t>日，非</w:t>
      </w:r>
      <w:r w:rsidR="001C7D9F" w:rsidRPr="00235EDB">
        <w:rPr>
          <w:rFonts w:ascii="Microsoft Yahei" w:eastAsia="宋体" w:hAnsi="Microsoft Yahei" w:cs="宋体" w:hint="eastAsia"/>
          <w:kern w:val="0"/>
          <w:sz w:val="24"/>
        </w:rPr>
        <w:t>OPEC55.8</w:t>
      </w:r>
      <w:r w:rsidR="001C7D9F" w:rsidRPr="00235EDB">
        <w:rPr>
          <w:rFonts w:ascii="Microsoft Yahei" w:eastAsia="宋体" w:hAnsi="Microsoft Yahei" w:cs="宋体" w:hint="eastAsia"/>
          <w:kern w:val="0"/>
          <w:sz w:val="24"/>
        </w:rPr>
        <w:t>万桶</w:t>
      </w:r>
      <w:r w:rsidR="001C7D9F" w:rsidRPr="00235EDB">
        <w:rPr>
          <w:rFonts w:ascii="Microsoft Yahei" w:eastAsia="宋体" w:hAnsi="Microsoft Yahei" w:cs="宋体" w:hint="eastAsia"/>
          <w:kern w:val="0"/>
          <w:sz w:val="24"/>
        </w:rPr>
        <w:t>/</w:t>
      </w:r>
      <w:r w:rsidR="001C7D9F" w:rsidRPr="00235EDB">
        <w:rPr>
          <w:rFonts w:ascii="Microsoft Yahei" w:eastAsia="宋体" w:hAnsi="Microsoft Yahei" w:cs="宋体" w:hint="eastAsia"/>
          <w:kern w:val="0"/>
          <w:sz w:val="24"/>
        </w:rPr>
        <w:t>日的减产幅度，将减产协议延长至</w:t>
      </w:r>
      <w:r w:rsidR="001C7D9F" w:rsidRPr="00235EDB">
        <w:rPr>
          <w:rFonts w:ascii="Microsoft Yahei" w:eastAsia="宋体" w:hAnsi="Microsoft Yahei" w:cs="宋体" w:hint="eastAsia"/>
          <w:kern w:val="0"/>
          <w:sz w:val="24"/>
        </w:rPr>
        <w:t>2018</w:t>
      </w:r>
      <w:r w:rsidR="001C7D9F" w:rsidRPr="00235EDB">
        <w:rPr>
          <w:rFonts w:ascii="Microsoft Yahei" w:eastAsia="宋体" w:hAnsi="Microsoft Yahei" w:cs="宋体" w:hint="eastAsia"/>
          <w:kern w:val="0"/>
          <w:sz w:val="24"/>
        </w:rPr>
        <w:t>年底</w:t>
      </w:r>
      <w:r w:rsidR="007C5177" w:rsidRPr="00235EDB">
        <w:rPr>
          <w:rFonts w:ascii="Microsoft Yahei" w:eastAsia="宋体" w:hAnsi="Microsoft Yahei" w:cs="宋体" w:hint="eastAsia"/>
          <w:kern w:val="0"/>
          <w:sz w:val="24"/>
        </w:rPr>
        <w:t>。</w:t>
      </w:r>
      <w:r w:rsidR="001C7D9F" w:rsidRPr="00235EDB">
        <w:rPr>
          <w:rFonts w:ascii="Microsoft Yahei" w:eastAsia="宋体" w:hAnsi="Microsoft Yahei" w:cs="宋体" w:hint="eastAsia"/>
          <w:kern w:val="0"/>
          <w:sz w:val="24"/>
        </w:rPr>
        <w:t>另外，将在</w:t>
      </w:r>
      <w:r w:rsidR="001C7D9F" w:rsidRPr="00235EDB">
        <w:rPr>
          <w:rFonts w:ascii="Microsoft Yahei" w:eastAsia="宋体" w:hAnsi="Microsoft Yahei" w:cs="宋体" w:hint="eastAsia"/>
          <w:kern w:val="0"/>
          <w:sz w:val="24"/>
        </w:rPr>
        <w:t>2018</w:t>
      </w:r>
      <w:r w:rsidR="001C7D9F" w:rsidRPr="00235EDB">
        <w:rPr>
          <w:rFonts w:ascii="Microsoft Yahei" w:eastAsia="宋体" w:hAnsi="Microsoft Yahei" w:cs="宋体" w:hint="eastAsia"/>
          <w:kern w:val="0"/>
          <w:sz w:val="24"/>
        </w:rPr>
        <w:t>年</w:t>
      </w:r>
      <w:r w:rsidR="001C7D9F" w:rsidRPr="00235EDB">
        <w:rPr>
          <w:rFonts w:ascii="Microsoft Yahei" w:eastAsia="宋体" w:hAnsi="Microsoft Yahei" w:cs="宋体" w:hint="eastAsia"/>
          <w:kern w:val="0"/>
          <w:sz w:val="24"/>
        </w:rPr>
        <w:t>6</w:t>
      </w:r>
      <w:r w:rsidR="001C7D9F" w:rsidRPr="00235EDB">
        <w:rPr>
          <w:rFonts w:ascii="Microsoft Yahei" w:eastAsia="宋体" w:hAnsi="Microsoft Yahei" w:cs="宋体" w:hint="eastAsia"/>
          <w:kern w:val="0"/>
          <w:sz w:val="24"/>
        </w:rPr>
        <w:t>月份，根据基本面情况评估减产协议，形势有变则将讨论调整减产协议。同时，利比亚和尼日利亚将从</w:t>
      </w:r>
      <w:r w:rsidR="001C7D9F" w:rsidRPr="00235EDB">
        <w:rPr>
          <w:rFonts w:ascii="Microsoft Yahei" w:eastAsia="宋体" w:hAnsi="Microsoft Yahei" w:cs="宋体" w:hint="eastAsia"/>
          <w:kern w:val="0"/>
          <w:sz w:val="24"/>
        </w:rPr>
        <w:t>2018</w:t>
      </w:r>
      <w:r w:rsidR="001C7D9F" w:rsidRPr="00235EDB">
        <w:rPr>
          <w:rFonts w:ascii="Microsoft Yahei" w:eastAsia="宋体" w:hAnsi="Microsoft Yahei" w:cs="宋体" w:hint="eastAsia"/>
          <w:kern w:val="0"/>
          <w:sz w:val="24"/>
        </w:rPr>
        <w:t>年</w:t>
      </w:r>
      <w:r w:rsidR="001C7D9F" w:rsidRPr="00235EDB">
        <w:rPr>
          <w:rFonts w:ascii="Microsoft Yahei" w:eastAsia="宋体" w:hAnsi="Microsoft Yahei" w:cs="宋体" w:hint="eastAsia"/>
          <w:kern w:val="0"/>
          <w:sz w:val="24"/>
        </w:rPr>
        <w:t>1</w:t>
      </w:r>
      <w:r w:rsidR="001C7D9F" w:rsidRPr="00235EDB">
        <w:rPr>
          <w:rFonts w:ascii="Microsoft Yahei" w:eastAsia="宋体" w:hAnsi="Microsoft Yahei" w:cs="宋体" w:hint="eastAsia"/>
          <w:kern w:val="0"/>
          <w:sz w:val="24"/>
        </w:rPr>
        <w:t>月</w:t>
      </w:r>
      <w:r w:rsidR="001C7D9F" w:rsidRPr="00235EDB">
        <w:rPr>
          <w:rFonts w:ascii="Microsoft Yahei" w:eastAsia="宋体" w:hAnsi="Microsoft Yahei" w:cs="宋体" w:hint="eastAsia"/>
          <w:kern w:val="0"/>
          <w:sz w:val="24"/>
        </w:rPr>
        <w:t>1</w:t>
      </w:r>
      <w:r w:rsidR="001C7D9F" w:rsidRPr="00235EDB">
        <w:rPr>
          <w:rFonts w:ascii="Microsoft Yahei" w:eastAsia="宋体" w:hAnsi="Microsoft Yahei" w:cs="宋体" w:hint="eastAsia"/>
          <w:kern w:val="0"/>
          <w:sz w:val="24"/>
        </w:rPr>
        <w:t>日开始加入</w:t>
      </w:r>
      <w:r w:rsidR="001C7D9F" w:rsidRPr="00235EDB">
        <w:rPr>
          <w:rFonts w:ascii="Microsoft Yahei" w:eastAsia="宋体" w:hAnsi="Microsoft Yahei" w:cs="宋体" w:hint="eastAsia"/>
          <w:kern w:val="0"/>
          <w:sz w:val="24"/>
        </w:rPr>
        <w:t>OPEC</w:t>
      </w:r>
      <w:r w:rsidR="001C7D9F" w:rsidRPr="00235EDB">
        <w:rPr>
          <w:rFonts w:ascii="Microsoft Yahei" w:eastAsia="宋体" w:hAnsi="Microsoft Yahei" w:cs="宋体" w:hint="eastAsia"/>
          <w:kern w:val="0"/>
          <w:sz w:val="24"/>
        </w:rPr>
        <w:t>减产协议。利比亚被要求实施</w:t>
      </w:r>
      <w:r w:rsidR="001C7D9F" w:rsidRPr="00235EDB">
        <w:rPr>
          <w:rFonts w:ascii="Microsoft Yahei" w:eastAsia="宋体" w:hAnsi="Microsoft Yahei" w:cs="宋体" w:hint="eastAsia"/>
          <w:kern w:val="0"/>
          <w:sz w:val="24"/>
        </w:rPr>
        <w:t>110</w:t>
      </w:r>
      <w:r w:rsidR="001C7D9F" w:rsidRPr="00235EDB">
        <w:rPr>
          <w:rFonts w:ascii="Microsoft Yahei" w:eastAsia="宋体" w:hAnsi="Microsoft Yahei" w:cs="宋体" w:hint="eastAsia"/>
          <w:kern w:val="0"/>
          <w:sz w:val="24"/>
        </w:rPr>
        <w:t>万桶</w:t>
      </w:r>
      <w:r w:rsidR="001C7D9F" w:rsidRPr="00235EDB">
        <w:rPr>
          <w:rFonts w:ascii="Microsoft Yahei" w:eastAsia="宋体" w:hAnsi="Microsoft Yahei" w:cs="宋体" w:hint="eastAsia"/>
          <w:kern w:val="0"/>
          <w:sz w:val="24"/>
        </w:rPr>
        <w:t>/</w:t>
      </w:r>
      <w:r w:rsidR="001C7D9F" w:rsidRPr="00235EDB">
        <w:rPr>
          <w:rFonts w:ascii="Microsoft Yahei" w:eastAsia="宋体" w:hAnsi="Microsoft Yahei" w:cs="宋体" w:hint="eastAsia"/>
          <w:kern w:val="0"/>
          <w:sz w:val="24"/>
        </w:rPr>
        <w:t>日的生产限额，尼日利亚同意冻结产能在</w:t>
      </w:r>
      <w:r w:rsidR="001C7D9F" w:rsidRPr="00235EDB">
        <w:rPr>
          <w:rFonts w:ascii="Microsoft Yahei" w:eastAsia="宋体" w:hAnsi="Microsoft Yahei" w:cs="宋体" w:hint="eastAsia"/>
          <w:kern w:val="0"/>
          <w:sz w:val="24"/>
        </w:rPr>
        <w:t>180</w:t>
      </w:r>
      <w:r w:rsidR="001C7D9F" w:rsidRPr="00235EDB">
        <w:rPr>
          <w:rFonts w:ascii="Microsoft Yahei" w:eastAsia="宋体" w:hAnsi="Microsoft Yahei" w:cs="宋体" w:hint="eastAsia"/>
          <w:kern w:val="0"/>
          <w:sz w:val="24"/>
        </w:rPr>
        <w:t>万桶</w:t>
      </w:r>
      <w:r w:rsidR="001C7D9F" w:rsidRPr="00235EDB">
        <w:rPr>
          <w:rFonts w:ascii="Microsoft Yahei" w:eastAsia="宋体" w:hAnsi="Microsoft Yahei" w:cs="宋体" w:hint="eastAsia"/>
          <w:kern w:val="0"/>
          <w:sz w:val="24"/>
        </w:rPr>
        <w:t>/</w:t>
      </w:r>
      <w:r w:rsidR="001C7D9F" w:rsidRPr="00235EDB">
        <w:rPr>
          <w:rFonts w:ascii="Microsoft Yahei" w:eastAsia="宋体" w:hAnsi="Microsoft Yahei" w:cs="宋体" w:hint="eastAsia"/>
          <w:kern w:val="0"/>
          <w:sz w:val="24"/>
        </w:rPr>
        <w:t>日。</w:t>
      </w:r>
    </w:p>
    <w:p w:rsidR="001C7D9F" w:rsidRPr="00235EDB" w:rsidRDefault="001C7D9F" w:rsidP="00235EDB">
      <w:pPr>
        <w:ind w:firstLine="480"/>
        <w:rPr>
          <w:rFonts w:ascii="Microsoft Yahei" w:eastAsia="宋体" w:hAnsi="Microsoft Yahei" w:cs="宋体" w:hint="eastAsia"/>
          <w:kern w:val="0"/>
          <w:sz w:val="24"/>
        </w:rPr>
      </w:pPr>
      <w:r w:rsidRPr="00235EDB">
        <w:rPr>
          <w:rFonts w:ascii="Microsoft Yahei" w:eastAsia="宋体" w:hAnsi="Microsoft Yahei" w:cs="宋体" w:hint="eastAsia"/>
          <w:kern w:val="0"/>
          <w:sz w:val="24"/>
        </w:rPr>
        <w:t>因在会议举行前，市场普遍预期减产将延续至明年年底，因此结果基本符合市场预期，当天油价也是冲高回落，基本走平。</w:t>
      </w:r>
    </w:p>
    <w:p w:rsidR="00235EDB" w:rsidRPr="00DA0535" w:rsidRDefault="00235EDB" w:rsidP="00235EDB">
      <w:pPr>
        <w:pStyle w:val="2"/>
        <w:spacing w:beforeLines="0"/>
        <w:ind w:firstLineChars="0" w:firstLine="0"/>
      </w:pPr>
      <w:r>
        <w:rPr>
          <w:rFonts w:hint="eastAsia"/>
        </w:rPr>
        <w:t xml:space="preserve">2.2 </w:t>
      </w:r>
      <w:r w:rsidRPr="00235EDB">
        <w:rPr>
          <w:rFonts w:hint="eastAsia"/>
        </w:rPr>
        <w:t>利比亚和尼日利亚将限产</w:t>
      </w:r>
    </w:p>
    <w:p w:rsidR="001C7D9F" w:rsidRPr="00235EDB" w:rsidRDefault="001C7D9F" w:rsidP="00AE53F9">
      <w:pPr>
        <w:widowControl/>
        <w:shd w:val="clear" w:color="auto" w:fill="FFFFFF"/>
        <w:spacing w:after="100" w:afterAutospacing="1"/>
        <w:ind w:firstLineChars="0" w:firstLine="442"/>
        <w:rPr>
          <w:rFonts w:ascii="Microsoft Yahei" w:eastAsia="宋体" w:hAnsi="Microsoft Yahei" w:cs="宋体" w:hint="eastAsia"/>
          <w:kern w:val="0"/>
          <w:sz w:val="24"/>
        </w:rPr>
      </w:pPr>
      <w:r w:rsidRPr="00235EDB">
        <w:rPr>
          <w:rFonts w:ascii="Microsoft Yahei" w:eastAsia="宋体" w:hAnsi="Microsoft Yahei" w:cs="宋体" w:hint="eastAsia"/>
          <w:kern w:val="0"/>
          <w:sz w:val="24"/>
        </w:rPr>
        <w:t>虽然利比亚和尼日利亚纳入</w:t>
      </w:r>
      <w:proofErr w:type="gramStart"/>
      <w:r w:rsidRPr="00235EDB">
        <w:rPr>
          <w:rFonts w:ascii="Microsoft Yahei" w:eastAsia="宋体" w:hAnsi="Microsoft Yahei" w:cs="宋体" w:hint="eastAsia"/>
          <w:kern w:val="0"/>
          <w:sz w:val="24"/>
        </w:rPr>
        <w:t>限产让</w:t>
      </w:r>
      <w:proofErr w:type="gramEnd"/>
      <w:r w:rsidRPr="00235EDB">
        <w:rPr>
          <w:rFonts w:ascii="Microsoft Yahei" w:eastAsia="宋体" w:hAnsi="Microsoft Yahei" w:cs="宋体" w:hint="eastAsia"/>
          <w:kern w:val="0"/>
          <w:sz w:val="24"/>
        </w:rPr>
        <w:t>市场意外，但受制于国内地缘政治情况，两国本身的增产空间其实已经较为有限。</w:t>
      </w:r>
    </w:p>
    <w:p w:rsidR="001C7D9F" w:rsidRPr="0002502E" w:rsidRDefault="001C7D9F" w:rsidP="001C7D9F">
      <w:pPr>
        <w:ind w:firstLineChars="0" w:firstLine="0"/>
        <w:jc w:val="center"/>
        <w:rPr>
          <w:rFonts w:ascii="华文细黑" w:hAnsi="华文细黑"/>
        </w:rPr>
      </w:pPr>
      <w:r w:rsidRPr="0002502E">
        <w:rPr>
          <w:rFonts w:ascii="宋体" w:eastAsia="宋体" w:hAnsi="宋体" w:cs="宋体" w:hint="eastAsia"/>
          <w:b/>
        </w:rPr>
        <w:t>图</w:t>
      </w:r>
      <w:r w:rsidR="00235EDB">
        <w:rPr>
          <w:rFonts w:ascii="宋体" w:eastAsia="宋体" w:hAnsi="宋体" w:cs="宋体" w:hint="eastAsia"/>
          <w:b/>
        </w:rPr>
        <w:t>3</w:t>
      </w:r>
      <w:r w:rsidRPr="0002502E">
        <w:rPr>
          <w:rFonts w:ascii="宋体" w:eastAsia="宋体" w:hAnsi="宋体" w:cs="宋体" w:hint="eastAsia"/>
          <w:b/>
        </w:rPr>
        <w:t>：</w:t>
      </w:r>
      <w:r>
        <w:rPr>
          <w:rFonts w:ascii="宋体" w:eastAsia="宋体" w:hAnsi="宋体" w:cs="宋体" w:hint="eastAsia"/>
          <w:b/>
        </w:rPr>
        <w:t>利比亚</w:t>
      </w:r>
      <w:r w:rsidRPr="0002502E">
        <w:rPr>
          <w:rFonts w:ascii="宋体" w:eastAsia="宋体" w:hAnsi="宋体" w:cs="宋体" w:hint="eastAsia"/>
          <w:b/>
        </w:rPr>
        <w:t>原油</w:t>
      </w:r>
      <w:r>
        <w:rPr>
          <w:rFonts w:ascii="宋体" w:eastAsia="宋体" w:hAnsi="宋体" w:cs="宋体" w:hint="eastAsia"/>
          <w:b/>
        </w:rPr>
        <w:t>产量变化</w:t>
      </w:r>
    </w:p>
    <w:p w:rsidR="001C7D9F" w:rsidRPr="00310922" w:rsidRDefault="001C7D9F" w:rsidP="001C7D9F">
      <w:pPr>
        <w:ind w:firstLineChars="0" w:firstLine="0"/>
        <w:jc w:val="center"/>
      </w:pPr>
      <w:r>
        <w:rPr>
          <w:rFonts w:ascii="宋体" w:eastAsia="宋体" w:hAnsi="宋体" w:cs="宋体" w:hint="eastAsia"/>
          <w:noProof/>
          <w:sz w:val="18"/>
          <w:szCs w:val="18"/>
        </w:rPr>
        <w:drawing>
          <wp:inline distT="0" distB="0" distL="0" distR="0">
            <wp:extent cx="4715510" cy="3038475"/>
            <wp:effectExtent l="1905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715510" cy="3038475"/>
                    </a:xfrm>
                    <a:prstGeom prst="rect">
                      <a:avLst/>
                    </a:prstGeom>
                    <a:noFill/>
                    <a:ln w="9525">
                      <a:noFill/>
                      <a:miter lim="800000"/>
                      <a:headEnd/>
                      <a:tailEnd/>
                    </a:ln>
                  </pic:spPr>
                </pic:pic>
              </a:graphicData>
            </a:graphic>
          </wp:inline>
        </w:drawing>
      </w:r>
      <w:r w:rsidRPr="00310922">
        <w:rPr>
          <w:rFonts w:ascii="宋体" w:eastAsia="宋体" w:hAnsi="宋体" w:cs="宋体" w:hint="eastAsia"/>
          <w:sz w:val="18"/>
          <w:szCs w:val="18"/>
        </w:rPr>
        <w:t>数据来源：</w:t>
      </w:r>
      <w:r w:rsidRPr="00310922">
        <w:rPr>
          <w:rFonts w:ascii="华文细黑" w:hAnsi="华文细黑" w:hint="eastAsia"/>
          <w:sz w:val="18"/>
          <w:szCs w:val="18"/>
        </w:rPr>
        <w:t>Wind</w:t>
      </w:r>
      <w:r w:rsidRPr="00310922">
        <w:rPr>
          <w:rFonts w:ascii="宋体" w:eastAsia="宋体" w:hAnsi="宋体" w:cs="宋体" w:hint="eastAsia"/>
          <w:sz w:val="18"/>
          <w:szCs w:val="18"/>
        </w:rPr>
        <w:t>，</w:t>
      </w:r>
      <w:proofErr w:type="gramStart"/>
      <w:r w:rsidRPr="00310922">
        <w:rPr>
          <w:rFonts w:ascii="宋体" w:eastAsia="宋体" w:hAnsi="宋体" w:cs="宋体" w:hint="eastAsia"/>
          <w:sz w:val="18"/>
          <w:szCs w:val="18"/>
        </w:rPr>
        <w:t>兴证期货</w:t>
      </w:r>
      <w:proofErr w:type="gramEnd"/>
      <w:r w:rsidRPr="00310922">
        <w:rPr>
          <w:rFonts w:ascii="宋体" w:eastAsia="宋体" w:hAnsi="宋体" w:cs="宋体" w:hint="eastAsia"/>
          <w:sz w:val="18"/>
          <w:szCs w:val="18"/>
        </w:rPr>
        <w:t>研发部</w:t>
      </w:r>
    </w:p>
    <w:p w:rsidR="001C7D9F" w:rsidRPr="00235EDB" w:rsidRDefault="001C7D9F" w:rsidP="00AE53F9">
      <w:pPr>
        <w:spacing w:after="100" w:afterAutospacing="1"/>
        <w:ind w:firstLine="480"/>
        <w:rPr>
          <w:rFonts w:ascii="Microsoft Yahei" w:eastAsia="宋体" w:hAnsi="Microsoft Yahei" w:cs="宋体" w:hint="eastAsia"/>
          <w:kern w:val="0"/>
          <w:sz w:val="24"/>
        </w:rPr>
      </w:pPr>
      <w:r w:rsidRPr="00235EDB">
        <w:rPr>
          <w:rFonts w:ascii="Microsoft Yahei" w:eastAsia="宋体" w:hAnsi="Microsoft Yahei" w:cs="宋体"/>
          <w:kern w:val="0"/>
          <w:sz w:val="24"/>
        </w:rPr>
        <w:t>利比亚是</w:t>
      </w:r>
      <w:r w:rsidRPr="00235EDB">
        <w:rPr>
          <w:rFonts w:ascii="Microsoft Yahei" w:eastAsia="宋体" w:hAnsi="Microsoft Yahei" w:cs="宋体"/>
          <w:kern w:val="0"/>
          <w:sz w:val="24"/>
        </w:rPr>
        <w:t>OPEC</w:t>
      </w:r>
      <w:r w:rsidRPr="00235EDB">
        <w:rPr>
          <w:rFonts w:ascii="Microsoft Yahei" w:eastAsia="宋体" w:hAnsi="Microsoft Yahei" w:cs="宋体"/>
          <w:kern w:val="0"/>
          <w:sz w:val="24"/>
        </w:rPr>
        <w:t>成员国中拥有非洲最大原油储量的，由于饱受内战困扰而享有减产豁免权。目前原油产量</w:t>
      </w:r>
      <w:r w:rsidRPr="00235EDB">
        <w:rPr>
          <w:rFonts w:ascii="Microsoft Yahei" w:eastAsia="宋体" w:hAnsi="Microsoft Yahei" w:cs="宋体" w:hint="eastAsia"/>
          <w:kern w:val="0"/>
          <w:sz w:val="24"/>
        </w:rPr>
        <w:t>在</w:t>
      </w:r>
      <w:r w:rsidRPr="00235EDB">
        <w:rPr>
          <w:rFonts w:ascii="Microsoft Yahei" w:eastAsia="宋体" w:hAnsi="Microsoft Yahei" w:cs="宋体" w:hint="eastAsia"/>
          <w:kern w:val="0"/>
          <w:sz w:val="24"/>
        </w:rPr>
        <w:t>96</w:t>
      </w:r>
      <w:r w:rsidRPr="00235EDB">
        <w:rPr>
          <w:rFonts w:ascii="Microsoft Yahei" w:eastAsia="宋体" w:hAnsi="Microsoft Yahei" w:cs="宋体"/>
          <w:kern w:val="0"/>
          <w:sz w:val="24"/>
        </w:rPr>
        <w:t>万桶</w:t>
      </w:r>
      <w:r w:rsidRPr="00235EDB">
        <w:rPr>
          <w:rFonts w:ascii="Microsoft Yahei" w:eastAsia="宋体" w:hAnsi="Microsoft Yahei" w:cs="宋体"/>
          <w:kern w:val="0"/>
          <w:sz w:val="24"/>
        </w:rPr>
        <w:t>/</w:t>
      </w:r>
      <w:r w:rsidRPr="00235EDB">
        <w:rPr>
          <w:rFonts w:ascii="Microsoft Yahei" w:eastAsia="宋体" w:hAnsi="Microsoft Yahei" w:cs="宋体"/>
          <w:kern w:val="0"/>
          <w:sz w:val="24"/>
        </w:rPr>
        <w:t>日</w:t>
      </w:r>
      <w:r w:rsidRPr="00235EDB">
        <w:rPr>
          <w:rFonts w:ascii="Microsoft Yahei" w:eastAsia="宋体" w:hAnsi="Microsoft Yahei" w:cs="宋体" w:hint="eastAsia"/>
          <w:kern w:val="0"/>
          <w:sz w:val="24"/>
        </w:rPr>
        <w:t>左右，最高时略超</w:t>
      </w:r>
      <w:r w:rsidRPr="00235EDB">
        <w:rPr>
          <w:rFonts w:ascii="Microsoft Yahei" w:eastAsia="宋体" w:hAnsi="Microsoft Yahei" w:cs="宋体" w:hint="eastAsia"/>
          <w:kern w:val="0"/>
          <w:sz w:val="24"/>
        </w:rPr>
        <w:t>100</w:t>
      </w:r>
      <w:r w:rsidRPr="00235EDB">
        <w:rPr>
          <w:rFonts w:ascii="Microsoft Yahei" w:eastAsia="宋体" w:hAnsi="Microsoft Yahei" w:cs="宋体" w:hint="eastAsia"/>
          <w:kern w:val="0"/>
          <w:sz w:val="24"/>
        </w:rPr>
        <w:t>万桶</w:t>
      </w:r>
      <w:r w:rsidRPr="00235EDB">
        <w:rPr>
          <w:rFonts w:ascii="Microsoft Yahei" w:eastAsia="宋体" w:hAnsi="Microsoft Yahei" w:cs="宋体" w:hint="eastAsia"/>
          <w:kern w:val="0"/>
          <w:sz w:val="24"/>
        </w:rPr>
        <w:t>/</w:t>
      </w:r>
      <w:r w:rsidRPr="00235EDB">
        <w:rPr>
          <w:rFonts w:ascii="Microsoft Yahei" w:eastAsia="宋体" w:hAnsi="Microsoft Yahei" w:cs="宋体" w:hint="eastAsia"/>
          <w:kern w:val="0"/>
          <w:sz w:val="24"/>
        </w:rPr>
        <w:t>天，在</w:t>
      </w:r>
      <w:r w:rsidRPr="00235EDB">
        <w:rPr>
          <w:rFonts w:ascii="Microsoft Yahei" w:eastAsia="宋体" w:hAnsi="Microsoft Yahei" w:cs="宋体"/>
          <w:kern w:val="0"/>
          <w:sz w:val="24"/>
        </w:rPr>
        <w:t>OPEC</w:t>
      </w:r>
      <w:r w:rsidRPr="00235EDB">
        <w:rPr>
          <w:rFonts w:ascii="Microsoft Yahei" w:eastAsia="宋体" w:hAnsi="Microsoft Yahei" w:cs="宋体" w:hint="eastAsia"/>
          <w:kern w:val="0"/>
          <w:sz w:val="24"/>
        </w:rPr>
        <w:t>里的</w:t>
      </w:r>
      <w:r w:rsidRPr="00235EDB">
        <w:rPr>
          <w:rFonts w:ascii="Microsoft Yahei" w:eastAsia="宋体" w:hAnsi="Microsoft Yahei" w:cs="宋体"/>
          <w:kern w:val="0"/>
          <w:sz w:val="24"/>
        </w:rPr>
        <w:t>比重</w:t>
      </w:r>
      <w:r w:rsidRPr="00235EDB">
        <w:rPr>
          <w:rFonts w:ascii="Microsoft Yahei" w:eastAsia="宋体" w:hAnsi="Microsoft Yahei" w:cs="宋体" w:hint="eastAsia"/>
          <w:kern w:val="0"/>
          <w:sz w:val="24"/>
        </w:rPr>
        <w:t>为</w:t>
      </w:r>
      <w:r w:rsidRPr="00235EDB">
        <w:rPr>
          <w:rFonts w:ascii="Microsoft Yahei" w:eastAsia="宋体" w:hAnsi="Microsoft Yahei" w:cs="宋体"/>
          <w:kern w:val="0"/>
          <w:sz w:val="24"/>
        </w:rPr>
        <w:t>3%</w:t>
      </w:r>
      <w:r w:rsidRPr="00235EDB">
        <w:rPr>
          <w:rFonts w:ascii="Microsoft Yahei" w:eastAsia="宋体" w:hAnsi="Microsoft Yahei" w:cs="宋体"/>
          <w:kern w:val="0"/>
          <w:sz w:val="24"/>
        </w:rPr>
        <w:t>。</w:t>
      </w:r>
    </w:p>
    <w:p w:rsidR="001C7D9F" w:rsidRPr="0002502E" w:rsidRDefault="001C7D9F" w:rsidP="001C7D9F">
      <w:pPr>
        <w:ind w:firstLineChars="0" w:firstLine="0"/>
        <w:jc w:val="center"/>
        <w:rPr>
          <w:rFonts w:ascii="华文细黑" w:hAnsi="华文细黑"/>
        </w:rPr>
      </w:pPr>
      <w:r w:rsidRPr="0002502E">
        <w:rPr>
          <w:rFonts w:ascii="宋体" w:eastAsia="宋体" w:hAnsi="宋体" w:cs="宋体" w:hint="eastAsia"/>
          <w:b/>
        </w:rPr>
        <w:t>图</w:t>
      </w:r>
      <w:r w:rsidR="00235EDB">
        <w:rPr>
          <w:rFonts w:ascii="宋体" w:eastAsia="宋体" w:hAnsi="宋体" w:cs="宋体" w:hint="eastAsia"/>
          <w:b/>
        </w:rPr>
        <w:t>4</w:t>
      </w:r>
      <w:r w:rsidRPr="0002502E">
        <w:rPr>
          <w:rFonts w:ascii="宋体" w:eastAsia="宋体" w:hAnsi="宋体" w:cs="宋体" w:hint="eastAsia"/>
          <w:b/>
        </w:rPr>
        <w:t>：</w:t>
      </w:r>
      <w:r>
        <w:rPr>
          <w:rFonts w:ascii="宋体" w:eastAsia="宋体" w:hAnsi="宋体" w:cs="宋体" w:hint="eastAsia"/>
          <w:b/>
        </w:rPr>
        <w:t>尼日利亚</w:t>
      </w:r>
      <w:r w:rsidRPr="0002502E">
        <w:rPr>
          <w:rFonts w:ascii="宋体" w:eastAsia="宋体" w:hAnsi="宋体" w:cs="宋体" w:hint="eastAsia"/>
          <w:b/>
        </w:rPr>
        <w:t>原油</w:t>
      </w:r>
      <w:r>
        <w:rPr>
          <w:rFonts w:ascii="宋体" w:eastAsia="宋体" w:hAnsi="宋体" w:cs="宋体" w:hint="eastAsia"/>
          <w:b/>
        </w:rPr>
        <w:t>产量变化</w:t>
      </w:r>
    </w:p>
    <w:p w:rsidR="001C7D9F" w:rsidRPr="00310922" w:rsidRDefault="001C7D9F" w:rsidP="001C7D9F">
      <w:pPr>
        <w:ind w:firstLineChars="0" w:firstLine="0"/>
        <w:jc w:val="center"/>
      </w:pPr>
      <w:r>
        <w:rPr>
          <w:rFonts w:ascii="宋体" w:eastAsia="宋体" w:hAnsi="宋体" w:cs="宋体" w:hint="eastAsia"/>
          <w:noProof/>
          <w:sz w:val="18"/>
          <w:szCs w:val="18"/>
        </w:rPr>
        <w:lastRenderedPageBreak/>
        <w:drawing>
          <wp:inline distT="0" distB="0" distL="0" distR="0">
            <wp:extent cx="4715510" cy="3086100"/>
            <wp:effectExtent l="1905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4715510" cy="3086100"/>
                    </a:xfrm>
                    <a:prstGeom prst="rect">
                      <a:avLst/>
                    </a:prstGeom>
                    <a:noFill/>
                    <a:ln w="9525">
                      <a:noFill/>
                      <a:miter lim="800000"/>
                      <a:headEnd/>
                      <a:tailEnd/>
                    </a:ln>
                  </pic:spPr>
                </pic:pic>
              </a:graphicData>
            </a:graphic>
          </wp:inline>
        </w:drawing>
      </w:r>
      <w:r w:rsidRPr="00310922">
        <w:rPr>
          <w:rFonts w:ascii="宋体" w:eastAsia="宋体" w:hAnsi="宋体" w:cs="宋体" w:hint="eastAsia"/>
          <w:sz w:val="18"/>
          <w:szCs w:val="18"/>
        </w:rPr>
        <w:t>数据来源：</w:t>
      </w:r>
      <w:r w:rsidRPr="00310922">
        <w:rPr>
          <w:rFonts w:ascii="华文细黑" w:hAnsi="华文细黑" w:hint="eastAsia"/>
          <w:sz w:val="18"/>
          <w:szCs w:val="18"/>
        </w:rPr>
        <w:t>Wind</w:t>
      </w:r>
      <w:r w:rsidRPr="00310922">
        <w:rPr>
          <w:rFonts w:ascii="宋体" w:eastAsia="宋体" w:hAnsi="宋体" w:cs="宋体" w:hint="eastAsia"/>
          <w:sz w:val="18"/>
          <w:szCs w:val="18"/>
        </w:rPr>
        <w:t>，</w:t>
      </w:r>
      <w:proofErr w:type="gramStart"/>
      <w:r w:rsidRPr="00310922">
        <w:rPr>
          <w:rFonts w:ascii="宋体" w:eastAsia="宋体" w:hAnsi="宋体" w:cs="宋体" w:hint="eastAsia"/>
          <w:sz w:val="18"/>
          <w:szCs w:val="18"/>
        </w:rPr>
        <w:t>兴证期货</w:t>
      </w:r>
      <w:proofErr w:type="gramEnd"/>
      <w:r w:rsidRPr="00310922">
        <w:rPr>
          <w:rFonts w:ascii="宋体" w:eastAsia="宋体" w:hAnsi="宋体" w:cs="宋体" w:hint="eastAsia"/>
          <w:sz w:val="18"/>
          <w:szCs w:val="18"/>
        </w:rPr>
        <w:t>研发部</w:t>
      </w:r>
    </w:p>
    <w:p w:rsidR="001C7D9F" w:rsidRPr="00235EDB" w:rsidRDefault="001C7D9F" w:rsidP="00235EDB">
      <w:pPr>
        <w:widowControl/>
        <w:shd w:val="clear" w:color="auto" w:fill="FFFFFF"/>
        <w:ind w:firstLineChars="0" w:firstLine="442"/>
        <w:rPr>
          <w:rFonts w:ascii="Microsoft Yahei" w:eastAsia="宋体" w:hAnsi="Microsoft Yahei" w:cs="宋体" w:hint="eastAsia"/>
          <w:kern w:val="0"/>
          <w:sz w:val="24"/>
        </w:rPr>
      </w:pPr>
      <w:r w:rsidRPr="00235EDB">
        <w:rPr>
          <w:rFonts w:ascii="Microsoft Yahei" w:eastAsia="宋体" w:hAnsi="Microsoft Yahei" w:cs="宋体"/>
          <w:kern w:val="0"/>
          <w:sz w:val="24"/>
        </w:rPr>
        <w:t>尼日利亚</w:t>
      </w:r>
      <w:r w:rsidRPr="00235EDB">
        <w:rPr>
          <w:rFonts w:ascii="Microsoft Yahei" w:eastAsia="宋体" w:hAnsi="Microsoft Yahei" w:cs="宋体" w:hint="eastAsia"/>
          <w:kern w:val="0"/>
          <w:sz w:val="24"/>
        </w:rPr>
        <w:t>同样</w:t>
      </w:r>
      <w:r w:rsidRPr="00235EDB">
        <w:rPr>
          <w:rFonts w:ascii="Microsoft Yahei" w:eastAsia="宋体" w:hAnsi="Microsoft Yahei" w:cs="宋体"/>
          <w:kern w:val="0"/>
          <w:sz w:val="24"/>
        </w:rPr>
        <w:t>也享有减产豁免权，因其需要恢复饱受武装袭击影响的原油产量。与利比亚一样，尼日利亚的产量复苏也将部分抵消其他产油国减产所带来的提振效果。</w:t>
      </w:r>
      <w:r w:rsidRPr="00235EDB">
        <w:rPr>
          <w:rFonts w:ascii="Microsoft Yahei" w:eastAsia="宋体" w:hAnsi="Microsoft Yahei" w:cs="宋体" w:hint="eastAsia"/>
          <w:kern w:val="0"/>
          <w:sz w:val="24"/>
        </w:rPr>
        <w:t>目前原油产量在</w:t>
      </w:r>
      <w:r w:rsidRPr="00235EDB">
        <w:rPr>
          <w:rFonts w:ascii="Microsoft Yahei" w:eastAsia="宋体" w:hAnsi="Microsoft Yahei" w:cs="宋体" w:hint="eastAsia"/>
          <w:kern w:val="0"/>
          <w:sz w:val="24"/>
        </w:rPr>
        <w:t>174</w:t>
      </w:r>
      <w:r w:rsidRPr="00235EDB">
        <w:rPr>
          <w:rFonts w:ascii="Microsoft Yahei" w:eastAsia="宋体" w:hAnsi="Microsoft Yahei" w:cs="宋体" w:hint="eastAsia"/>
          <w:kern w:val="0"/>
          <w:sz w:val="24"/>
        </w:rPr>
        <w:t>万桶</w:t>
      </w:r>
      <w:r w:rsidRPr="00235EDB">
        <w:rPr>
          <w:rFonts w:ascii="Microsoft Yahei" w:eastAsia="宋体" w:hAnsi="Microsoft Yahei" w:cs="宋体" w:hint="eastAsia"/>
          <w:kern w:val="0"/>
          <w:sz w:val="24"/>
        </w:rPr>
        <w:t>/</w:t>
      </w:r>
      <w:r w:rsidRPr="00235EDB">
        <w:rPr>
          <w:rFonts w:ascii="Microsoft Yahei" w:eastAsia="宋体" w:hAnsi="Microsoft Yahei" w:cs="宋体" w:hint="eastAsia"/>
          <w:kern w:val="0"/>
          <w:sz w:val="24"/>
        </w:rPr>
        <w:t>天，在</w:t>
      </w:r>
      <w:r w:rsidRPr="00235EDB">
        <w:rPr>
          <w:rFonts w:ascii="Microsoft Yahei" w:eastAsia="宋体" w:hAnsi="Microsoft Yahei" w:cs="宋体"/>
          <w:kern w:val="0"/>
          <w:sz w:val="24"/>
        </w:rPr>
        <w:t>OPEC</w:t>
      </w:r>
      <w:r w:rsidRPr="00235EDB">
        <w:rPr>
          <w:rFonts w:ascii="Microsoft Yahei" w:eastAsia="宋体" w:hAnsi="Microsoft Yahei" w:cs="宋体" w:hint="eastAsia"/>
          <w:kern w:val="0"/>
          <w:sz w:val="24"/>
        </w:rPr>
        <w:t>里的</w:t>
      </w:r>
      <w:r w:rsidRPr="00235EDB">
        <w:rPr>
          <w:rFonts w:ascii="Microsoft Yahei" w:eastAsia="宋体" w:hAnsi="Microsoft Yahei" w:cs="宋体"/>
          <w:kern w:val="0"/>
          <w:sz w:val="24"/>
        </w:rPr>
        <w:t>比重</w:t>
      </w:r>
      <w:r w:rsidRPr="00235EDB">
        <w:rPr>
          <w:rFonts w:ascii="Microsoft Yahei" w:eastAsia="宋体" w:hAnsi="Microsoft Yahei" w:cs="宋体" w:hint="eastAsia"/>
          <w:kern w:val="0"/>
          <w:sz w:val="24"/>
        </w:rPr>
        <w:t>在</w:t>
      </w:r>
      <w:r w:rsidRPr="00235EDB">
        <w:rPr>
          <w:rFonts w:ascii="Microsoft Yahei" w:eastAsia="宋体" w:hAnsi="Microsoft Yahei" w:cs="宋体"/>
          <w:kern w:val="0"/>
          <w:sz w:val="24"/>
        </w:rPr>
        <w:t>5.3%</w:t>
      </w:r>
      <w:r w:rsidRPr="00235EDB">
        <w:rPr>
          <w:rFonts w:ascii="Microsoft Yahei" w:eastAsia="宋体" w:hAnsi="Microsoft Yahei" w:cs="宋体" w:hint="eastAsia"/>
          <w:kern w:val="0"/>
          <w:sz w:val="24"/>
        </w:rPr>
        <w:t>左右。</w:t>
      </w:r>
    </w:p>
    <w:p w:rsidR="0002502E" w:rsidRPr="00DA0535" w:rsidRDefault="0002502E" w:rsidP="007E585E">
      <w:pPr>
        <w:pStyle w:val="2"/>
        <w:spacing w:beforeLines="0"/>
        <w:ind w:firstLineChars="0" w:firstLine="0"/>
      </w:pPr>
      <w:r>
        <w:rPr>
          <w:rFonts w:hint="eastAsia"/>
        </w:rPr>
        <w:t>2.3</w:t>
      </w:r>
      <w:r>
        <w:rPr>
          <w:rFonts w:hint="eastAsia"/>
        </w:rPr>
        <w:t>美国原油产量</w:t>
      </w:r>
      <w:r w:rsidR="00235EDB" w:rsidRPr="00235EDB">
        <w:rPr>
          <w:rFonts w:hint="eastAsia"/>
        </w:rPr>
        <w:t>仍</w:t>
      </w:r>
      <w:r w:rsidR="007E585E" w:rsidRPr="007E585E">
        <w:rPr>
          <w:rFonts w:hint="eastAsia"/>
        </w:rPr>
        <w:t>持续增加</w:t>
      </w:r>
    </w:p>
    <w:tbl>
      <w:tblPr>
        <w:tblW w:w="0" w:type="auto"/>
        <w:tblLook w:val="04A0"/>
      </w:tblPr>
      <w:tblGrid>
        <w:gridCol w:w="7642"/>
      </w:tblGrid>
      <w:tr w:rsidR="00DA0535" w:rsidTr="0002502E">
        <w:tc>
          <w:tcPr>
            <w:tcW w:w="7642" w:type="dxa"/>
          </w:tcPr>
          <w:p w:rsidR="00DA0535" w:rsidRPr="0002502E" w:rsidRDefault="0002502E" w:rsidP="00235EDB">
            <w:pPr>
              <w:ind w:firstLineChars="0" w:firstLine="0"/>
              <w:jc w:val="center"/>
              <w:rPr>
                <w:rFonts w:ascii="华文细黑" w:hAnsi="华文细黑"/>
              </w:rPr>
            </w:pPr>
            <w:r w:rsidRPr="0002502E">
              <w:rPr>
                <w:rFonts w:ascii="宋体" w:eastAsia="宋体" w:hAnsi="宋体" w:cs="宋体" w:hint="eastAsia"/>
                <w:b/>
              </w:rPr>
              <w:t>图</w:t>
            </w:r>
            <w:r w:rsidR="00235EDB">
              <w:rPr>
                <w:rFonts w:ascii="宋体" w:eastAsia="宋体" w:hAnsi="宋体" w:cs="宋体" w:hint="eastAsia"/>
                <w:b/>
              </w:rPr>
              <w:t>5</w:t>
            </w:r>
            <w:r w:rsidR="00DA0535" w:rsidRPr="0002502E">
              <w:rPr>
                <w:rFonts w:ascii="宋体" w:eastAsia="宋体" w:hAnsi="宋体" w:cs="宋体" w:hint="eastAsia"/>
                <w:b/>
              </w:rPr>
              <w:t>：</w:t>
            </w:r>
            <w:r w:rsidRPr="0002502E">
              <w:rPr>
                <w:rFonts w:ascii="宋体" w:eastAsia="宋体" w:hAnsi="宋体" w:cs="宋体" w:hint="eastAsia"/>
                <w:b/>
              </w:rPr>
              <w:t>美国原油产量变化</w:t>
            </w:r>
          </w:p>
        </w:tc>
      </w:tr>
      <w:tr w:rsidR="00DA0535" w:rsidTr="0002502E">
        <w:tc>
          <w:tcPr>
            <w:tcW w:w="7642" w:type="dxa"/>
          </w:tcPr>
          <w:p w:rsidR="00DA0535" w:rsidRDefault="001C7D9F" w:rsidP="00EF7F5F">
            <w:pPr>
              <w:ind w:firstLineChars="0" w:firstLine="0"/>
            </w:pPr>
            <w:r>
              <w:rPr>
                <w:noProof/>
              </w:rPr>
              <w:drawing>
                <wp:inline distT="0" distB="0" distL="0" distR="0">
                  <wp:extent cx="4714875" cy="3200400"/>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4714875" cy="3200400"/>
                          </a:xfrm>
                          <a:prstGeom prst="rect">
                            <a:avLst/>
                          </a:prstGeom>
                          <a:noFill/>
                          <a:ln w="9525">
                            <a:noFill/>
                            <a:miter lim="800000"/>
                            <a:headEnd/>
                            <a:tailEnd/>
                          </a:ln>
                        </pic:spPr>
                      </pic:pic>
                    </a:graphicData>
                  </a:graphic>
                </wp:inline>
              </w:drawing>
            </w:r>
          </w:p>
        </w:tc>
      </w:tr>
      <w:tr w:rsidR="00DA0535" w:rsidTr="0002502E">
        <w:tc>
          <w:tcPr>
            <w:tcW w:w="7642" w:type="dxa"/>
          </w:tcPr>
          <w:p w:rsidR="00DA0535" w:rsidRPr="00310922" w:rsidRDefault="00DA0535" w:rsidP="00310922">
            <w:pPr>
              <w:pStyle w:val="ac"/>
              <w:ind w:firstLine="360"/>
              <w:rPr>
                <w:rFonts w:ascii="华文细黑" w:hAnsi="华文细黑"/>
                <w:b w:val="0"/>
                <w:sz w:val="18"/>
                <w:szCs w:val="18"/>
              </w:rPr>
            </w:pPr>
            <w:r w:rsidRPr="00310922">
              <w:rPr>
                <w:rFonts w:ascii="华文细黑" w:hAnsi="华文细黑" w:hint="eastAsia"/>
                <w:b w:val="0"/>
                <w:sz w:val="18"/>
                <w:szCs w:val="18"/>
              </w:rPr>
              <w:t>数据来源：Wind</w:t>
            </w:r>
            <w:r w:rsidRPr="00310922">
              <w:rPr>
                <w:rFonts w:ascii="华文细黑" w:hAnsi="华文细黑"/>
                <w:b w:val="0"/>
                <w:sz w:val="18"/>
                <w:szCs w:val="18"/>
              </w:rPr>
              <w:t>，</w:t>
            </w:r>
            <w:proofErr w:type="gramStart"/>
            <w:r w:rsidRPr="00310922">
              <w:rPr>
                <w:rFonts w:ascii="华文细黑" w:hAnsi="华文细黑" w:hint="eastAsia"/>
                <w:b w:val="0"/>
                <w:sz w:val="18"/>
                <w:szCs w:val="18"/>
              </w:rPr>
              <w:t>兴证期货</w:t>
            </w:r>
            <w:proofErr w:type="gramEnd"/>
            <w:r w:rsidRPr="00310922">
              <w:rPr>
                <w:rFonts w:ascii="华文细黑" w:hAnsi="华文细黑" w:hint="eastAsia"/>
                <w:b w:val="0"/>
                <w:sz w:val="18"/>
                <w:szCs w:val="18"/>
              </w:rPr>
              <w:t>研发部</w:t>
            </w:r>
          </w:p>
        </w:tc>
      </w:tr>
    </w:tbl>
    <w:p w:rsidR="00235EDB" w:rsidRPr="00235EDB" w:rsidRDefault="00235EDB" w:rsidP="00235EDB">
      <w:pPr>
        <w:widowControl/>
        <w:shd w:val="clear" w:color="auto" w:fill="FFFFFF"/>
        <w:ind w:firstLineChars="0" w:firstLine="442"/>
        <w:rPr>
          <w:rFonts w:ascii="Microsoft Yahei" w:eastAsia="宋体" w:hAnsi="Microsoft Yahei" w:cs="宋体" w:hint="eastAsia"/>
          <w:color w:val="000000"/>
          <w:kern w:val="0"/>
          <w:sz w:val="24"/>
        </w:rPr>
      </w:pPr>
      <w:r w:rsidRPr="00235EDB">
        <w:rPr>
          <w:rFonts w:ascii="Microsoft Yahei" w:eastAsia="宋体" w:hAnsi="Microsoft Yahei" w:cs="宋体" w:hint="eastAsia"/>
          <w:color w:val="000000"/>
          <w:kern w:val="0"/>
          <w:sz w:val="24"/>
        </w:rPr>
        <w:t>目前来看，原油市场能否完成再平衡，依然取决于非</w:t>
      </w:r>
      <w:r w:rsidRPr="00235EDB">
        <w:rPr>
          <w:rFonts w:ascii="Microsoft Yahei" w:eastAsia="宋体" w:hAnsi="Microsoft Yahei" w:cs="宋体" w:hint="eastAsia"/>
          <w:color w:val="000000"/>
          <w:kern w:val="0"/>
          <w:sz w:val="24"/>
        </w:rPr>
        <w:t>OPEC</w:t>
      </w:r>
      <w:r w:rsidRPr="00235EDB">
        <w:rPr>
          <w:rFonts w:ascii="Microsoft Yahei" w:eastAsia="宋体" w:hAnsi="Microsoft Yahei" w:cs="宋体" w:hint="eastAsia"/>
          <w:color w:val="000000"/>
          <w:kern w:val="0"/>
          <w:sz w:val="24"/>
        </w:rPr>
        <w:t>供给和需求增速，而不确定性较大。</w:t>
      </w:r>
    </w:p>
    <w:p w:rsidR="00235EDB" w:rsidRDefault="00235EDB" w:rsidP="00235EDB">
      <w:pPr>
        <w:widowControl/>
        <w:shd w:val="clear" w:color="auto" w:fill="FFFFFF"/>
        <w:ind w:firstLineChars="0" w:firstLine="442"/>
        <w:rPr>
          <w:rFonts w:ascii="Microsoft Yahei" w:eastAsia="宋体" w:hAnsi="Microsoft Yahei" w:cs="宋体" w:hint="eastAsia"/>
          <w:color w:val="000000"/>
          <w:kern w:val="0"/>
          <w:sz w:val="24"/>
        </w:rPr>
      </w:pPr>
      <w:r w:rsidRPr="00235EDB">
        <w:rPr>
          <w:rFonts w:ascii="Microsoft Yahei" w:eastAsia="宋体" w:hAnsi="Microsoft Yahei" w:cs="宋体" w:hint="eastAsia"/>
          <w:color w:val="000000"/>
          <w:kern w:val="0"/>
          <w:sz w:val="24"/>
        </w:rPr>
        <w:lastRenderedPageBreak/>
        <w:t>供应方面，</w:t>
      </w:r>
      <w:r w:rsidR="00673B2D" w:rsidRPr="00235EDB">
        <w:rPr>
          <w:rFonts w:ascii="Microsoft Yahei" w:eastAsia="宋体" w:hAnsi="Microsoft Yahei" w:cs="宋体" w:hint="eastAsia"/>
          <w:color w:val="000000"/>
          <w:kern w:val="0"/>
          <w:sz w:val="24"/>
        </w:rPr>
        <w:t>上周美国国内原油产量</w:t>
      </w:r>
      <w:r w:rsidRPr="00235EDB">
        <w:rPr>
          <w:rFonts w:ascii="Microsoft Yahei" w:eastAsia="宋体" w:hAnsi="Microsoft Yahei" w:cs="宋体" w:hint="eastAsia"/>
          <w:color w:val="000000"/>
          <w:kern w:val="0"/>
          <w:sz w:val="24"/>
        </w:rPr>
        <w:t>继续</w:t>
      </w:r>
      <w:r w:rsidR="00673B2D" w:rsidRPr="00235EDB">
        <w:rPr>
          <w:rFonts w:ascii="Microsoft Yahei" w:eastAsia="宋体" w:hAnsi="Microsoft Yahei" w:cs="宋体" w:hint="eastAsia"/>
          <w:color w:val="000000"/>
          <w:kern w:val="0"/>
          <w:sz w:val="24"/>
        </w:rPr>
        <w:t>增加</w:t>
      </w:r>
      <w:r w:rsidR="00673B2D" w:rsidRPr="00235EDB">
        <w:rPr>
          <w:rFonts w:ascii="Microsoft Yahei" w:eastAsia="宋体" w:hAnsi="Microsoft Yahei" w:cs="宋体" w:hint="eastAsia"/>
          <w:color w:val="000000"/>
          <w:kern w:val="0"/>
          <w:sz w:val="24"/>
        </w:rPr>
        <w:t>2.4</w:t>
      </w:r>
      <w:r w:rsidR="00673B2D" w:rsidRPr="00235EDB">
        <w:rPr>
          <w:rFonts w:ascii="Microsoft Yahei" w:eastAsia="宋体" w:hAnsi="Microsoft Yahei" w:cs="宋体" w:hint="eastAsia"/>
          <w:color w:val="000000"/>
          <w:kern w:val="0"/>
          <w:sz w:val="24"/>
        </w:rPr>
        <w:t>万桶至</w:t>
      </w:r>
      <w:r w:rsidR="00673B2D" w:rsidRPr="00235EDB">
        <w:rPr>
          <w:rFonts w:ascii="Microsoft Yahei" w:eastAsia="宋体" w:hAnsi="Microsoft Yahei" w:cs="宋体" w:hint="eastAsia"/>
          <w:color w:val="000000"/>
          <w:kern w:val="0"/>
          <w:sz w:val="24"/>
        </w:rPr>
        <w:t>968.2</w:t>
      </w:r>
      <w:r w:rsidR="00673B2D" w:rsidRPr="00235EDB">
        <w:rPr>
          <w:rFonts w:ascii="Microsoft Yahei" w:eastAsia="宋体" w:hAnsi="Microsoft Yahei" w:cs="宋体" w:hint="eastAsia"/>
          <w:color w:val="000000"/>
          <w:kern w:val="0"/>
          <w:sz w:val="24"/>
        </w:rPr>
        <w:t>万桶</w:t>
      </w:r>
      <w:r w:rsidR="00673B2D" w:rsidRPr="00235EDB">
        <w:rPr>
          <w:rFonts w:ascii="Microsoft Yahei" w:eastAsia="宋体" w:hAnsi="Microsoft Yahei" w:cs="宋体" w:hint="eastAsia"/>
          <w:color w:val="000000"/>
          <w:kern w:val="0"/>
          <w:sz w:val="24"/>
        </w:rPr>
        <w:t>/</w:t>
      </w:r>
      <w:r w:rsidR="00673B2D" w:rsidRPr="00235EDB">
        <w:rPr>
          <w:rFonts w:ascii="Microsoft Yahei" w:eastAsia="宋体" w:hAnsi="Microsoft Yahei" w:cs="宋体" w:hint="eastAsia"/>
          <w:color w:val="000000"/>
          <w:kern w:val="0"/>
          <w:sz w:val="24"/>
        </w:rPr>
        <w:t>日，连续</w:t>
      </w:r>
      <w:r w:rsidR="00673B2D" w:rsidRPr="00235EDB">
        <w:rPr>
          <w:rFonts w:ascii="Microsoft Yahei" w:eastAsia="宋体" w:hAnsi="Microsoft Yahei" w:cs="宋体" w:hint="eastAsia"/>
          <w:color w:val="000000"/>
          <w:kern w:val="0"/>
          <w:sz w:val="24"/>
        </w:rPr>
        <w:t>6</w:t>
      </w:r>
      <w:r>
        <w:rPr>
          <w:rFonts w:ascii="Microsoft Yahei" w:eastAsia="宋体" w:hAnsi="Microsoft Yahei" w:cs="宋体" w:hint="eastAsia"/>
          <w:color w:val="000000"/>
          <w:kern w:val="0"/>
          <w:sz w:val="24"/>
        </w:rPr>
        <w:t>周</w:t>
      </w:r>
      <w:r w:rsidR="00673B2D" w:rsidRPr="00235EDB">
        <w:rPr>
          <w:rFonts w:ascii="Microsoft Yahei" w:eastAsia="宋体" w:hAnsi="Microsoft Yahei" w:cs="宋体" w:hint="eastAsia"/>
          <w:color w:val="000000"/>
          <w:kern w:val="0"/>
          <w:sz w:val="24"/>
        </w:rPr>
        <w:t>增长，继续刷新纪录高位</w:t>
      </w:r>
      <w:r w:rsidR="00DA0535" w:rsidRPr="00235EDB">
        <w:rPr>
          <w:rFonts w:ascii="Microsoft Yahei" w:eastAsia="宋体" w:hAnsi="Microsoft Yahei" w:cs="宋体"/>
          <w:color w:val="000000"/>
          <w:kern w:val="0"/>
          <w:sz w:val="24"/>
        </w:rPr>
        <w:t>。</w:t>
      </w:r>
      <w:r w:rsidR="001C7D9F" w:rsidRPr="00235EDB">
        <w:rPr>
          <w:rFonts w:ascii="Microsoft Yahei" w:eastAsia="宋体" w:hAnsi="Microsoft Yahei" w:cs="宋体" w:hint="eastAsia"/>
          <w:color w:val="000000"/>
          <w:kern w:val="0"/>
          <w:sz w:val="24"/>
        </w:rPr>
        <w:t>另外，</w:t>
      </w:r>
      <w:r w:rsidR="001C7D9F" w:rsidRPr="00235EDB">
        <w:rPr>
          <w:rFonts w:ascii="Microsoft Yahei" w:eastAsia="宋体" w:hAnsi="Microsoft Yahei" w:cs="宋体" w:hint="eastAsia"/>
          <w:color w:val="000000"/>
          <w:kern w:val="0"/>
          <w:sz w:val="24"/>
        </w:rPr>
        <w:t>EIA</w:t>
      </w:r>
      <w:r w:rsidR="001C7D9F" w:rsidRPr="00235EDB">
        <w:rPr>
          <w:rFonts w:ascii="Microsoft Yahei" w:eastAsia="宋体" w:hAnsi="Microsoft Yahei" w:cs="宋体" w:hint="eastAsia"/>
          <w:color w:val="000000"/>
          <w:kern w:val="0"/>
          <w:sz w:val="24"/>
        </w:rPr>
        <w:t>也在其最新发布的月度能源展望报告中预计今年美国原油日产量增长</w:t>
      </w:r>
      <w:r w:rsidR="001C7D9F" w:rsidRPr="00235EDB">
        <w:rPr>
          <w:rFonts w:ascii="Microsoft Yahei" w:eastAsia="宋体" w:hAnsi="Microsoft Yahei" w:cs="宋体" w:hint="eastAsia"/>
          <w:color w:val="000000"/>
          <w:kern w:val="0"/>
          <w:sz w:val="24"/>
        </w:rPr>
        <w:t>37</w:t>
      </w:r>
      <w:r w:rsidR="001C7D9F" w:rsidRPr="00235EDB">
        <w:rPr>
          <w:rFonts w:ascii="Microsoft Yahei" w:eastAsia="宋体" w:hAnsi="Microsoft Yahei" w:cs="宋体" w:hint="eastAsia"/>
          <w:color w:val="000000"/>
          <w:kern w:val="0"/>
          <w:sz w:val="24"/>
        </w:rPr>
        <w:t>万桶，至</w:t>
      </w:r>
      <w:r w:rsidR="001C7D9F" w:rsidRPr="00235EDB">
        <w:rPr>
          <w:rFonts w:ascii="Microsoft Yahei" w:eastAsia="宋体" w:hAnsi="Microsoft Yahei" w:cs="宋体" w:hint="eastAsia"/>
          <w:color w:val="000000"/>
          <w:kern w:val="0"/>
          <w:sz w:val="24"/>
        </w:rPr>
        <w:t>923</w:t>
      </w:r>
      <w:r w:rsidR="001C7D9F" w:rsidRPr="00235EDB">
        <w:rPr>
          <w:rFonts w:ascii="Microsoft Yahei" w:eastAsia="宋体" w:hAnsi="Microsoft Yahei" w:cs="宋体" w:hint="eastAsia"/>
          <w:color w:val="000000"/>
          <w:kern w:val="0"/>
          <w:sz w:val="24"/>
        </w:rPr>
        <w:t>万桶，明年美国原油日产量将增长</w:t>
      </w:r>
      <w:r w:rsidR="001C7D9F" w:rsidRPr="00235EDB">
        <w:rPr>
          <w:rFonts w:ascii="Microsoft Yahei" w:eastAsia="宋体" w:hAnsi="Microsoft Yahei" w:cs="宋体" w:hint="eastAsia"/>
          <w:color w:val="000000"/>
          <w:kern w:val="0"/>
          <w:sz w:val="24"/>
        </w:rPr>
        <w:t>72</w:t>
      </w:r>
      <w:r w:rsidR="001C7D9F" w:rsidRPr="00235EDB">
        <w:rPr>
          <w:rFonts w:ascii="Microsoft Yahei" w:eastAsia="宋体" w:hAnsi="Microsoft Yahei" w:cs="宋体" w:hint="eastAsia"/>
          <w:color w:val="000000"/>
          <w:kern w:val="0"/>
          <w:sz w:val="24"/>
        </w:rPr>
        <w:t>万桶至</w:t>
      </w:r>
      <w:r w:rsidR="001C7D9F" w:rsidRPr="00235EDB">
        <w:rPr>
          <w:rFonts w:ascii="Microsoft Yahei" w:eastAsia="宋体" w:hAnsi="Microsoft Yahei" w:cs="宋体" w:hint="eastAsia"/>
          <w:color w:val="000000"/>
          <w:kern w:val="0"/>
          <w:sz w:val="24"/>
        </w:rPr>
        <w:t>995</w:t>
      </w:r>
      <w:r w:rsidR="001C7D9F" w:rsidRPr="00235EDB">
        <w:rPr>
          <w:rFonts w:ascii="Microsoft Yahei" w:eastAsia="宋体" w:hAnsi="Microsoft Yahei" w:cs="宋体" w:hint="eastAsia"/>
          <w:color w:val="000000"/>
          <w:kern w:val="0"/>
          <w:sz w:val="24"/>
        </w:rPr>
        <w:t>万桶。同时将今年美国石油日需求增长预估从之前的</w:t>
      </w:r>
      <w:r w:rsidR="001C7D9F" w:rsidRPr="00235EDB">
        <w:rPr>
          <w:rFonts w:ascii="Microsoft Yahei" w:eastAsia="宋体" w:hAnsi="Microsoft Yahei" w:cs="宋体" w:hint="eastAsia"/>
          <w:color w:val="000000"/>
          <w:kern w:val="0"/>
          <w:sz w:val="24"/>
        </w:rPr>
        <w:t>23</w:t>
      </w:r>
      <w:r w:rsidR="001C7D9F" w:rsidRPr="00235EDB">
        <w:rPr>
          <w:rFonts w:ascii="Microsoft Yahei" w:eastAsia="宋体" w:hAnsi="Microsoft Yahei" w:cs="宋体" w:hint="eastAsia"/>
          <w:color w:val="000000"/>
          <w:kern w:val="0"/>
          <w:sz w:val="24"/>
        </w:rPr>
        <w:t>万桶下修至</w:t>
      </w:r>
      <w:r w:rsidR="001C7D9F" w:rsidRPr="00235EDB">
        <w:rPr>
          <w:rFonts w:ascii="Microsoft Yahei" w:eastAsia="宋体" w:hAnsi="Microsoft Yahei" w:cs="宋体" w:hint="eastAsia"/>
          <w:color w:val="000000"/>
          <w:kern w:val="0"/>
          <w:sz w:val="24"/>
        </w:rPr>
        <w:t>16</w:t>
      </w:r>
      <w:r w:rsidR="001C7D9F" w:rsidRPr="00235EDB">
        <w:rPr>
          <w:rFonts w:ascii="Microsoft Yahei" w:eastAsia="宋体" w:hAnsi="Microsoft Yahei" w:cs="宋体" w:hint="eastAsia"/>
          <w:color w:val="000000"/>
          <w:kern w:val="0"/>
          <w:sz w:val="24"/>
        </w:rPr>
        <w:t>万桶。预计明年美国石油日需求增长</w:t>
      </w:r>
      <w:r w:rsidR="001C7D9F" w:rsidRPr="00235EDB">
        <w:rPr>
          <w:rFonts w:ascii="Microsoft Yahei" w:eastAsia="宋体" w:hAnsi="Microsoft Yahei" w:cs="宋体" w:hint="eastAsia"/>
          <w:color w:val="000000"/>
          <w:kern w:val="0"/>
          <w:sz w:val="24"/>
        </w:rPr>
        <w:t>41</w:t>
      </w:r>
      <w:r w:rsidR="001C7D9F" w:rsidRPr="00235EDB">
        <w:rPr>
          <w:rFonts w:ascii="Microsoft Yahei" w:eastAsia="宋体" w:hAnsi="Microsoft Yahei" w:cs="宋体" w:hint="eastAsia"/>
          <w:color w:val="000000"/>
          <w:kern w:val="0"/>
          <w:sz w:val="24"/>
        </w:rPr>
        <w:t>万桶，低于之前预估的增长</w:t>
      </w:r>
      <w:r w:rsidR="001C7D9F" w:rsidRPr="00235EDB">
        <w:rPr>
          <w:rFonts w:ascii="Microsoft Yahei" w:eastAsia="宋体" w:hAnsi="Microsoft Yahei" w:cs="宋体" w:hint="eastAsia"/>
          <w:color w:val="000000"/>
          <w:kern w:val="0"/>
          <w:sz w:val="24"/>
        </w:rPr>
        <w:t>42</w:t>
      </w:r>
      <w:r w:rsidR="001C7D9F" w:rsidRPr="00235EDB">
        <w:rPr>
          <w:rFonts w:ascii="Microsoft Yahei" w:eastAsia="宋体" w:hAnsi="Microsoft Yahei" w:cs="宋体" w:hint="eastAsia"/>
          <w:color w:val="000000"/>
          <w:kern w:val="0"/>
          <w:sz w:val="24"/>
        </w:rPr>
        <w:t>万桶</w:t>
      </w:r>
      <w:r w:rsidR="00310922" w:rsidRPr="00235EDB">
        <w:rPr>
          <w:rFonts w:ascii="Microsoft Yahei" w:eastAsia="宋体" w:hAnsi="Microsoft Yahei" w:cs="宋体" w:hint="eastAsia"/>
          <w:color w:val="000000"/>
          <w:kern w:val="0"/>
          <w:sz w:val="24"/>
        </w:rPr>
        <w:t>。</w:t>
      </w:r>
    </w:p>
    <w:p w:rsidR="00673B2D" w:rsidRPr="00235EDB" w:rsidRDefault="00235EDB" w:rsidP="00235EDB">
      <w:pPr>
        <w:widowControl/>
        <w:shd w:val="clear" w:color="auto" w:fill="FFFFFF"/>
        <w:ind w:firstLineChars="0" w:firstLine="442"/>
        <w:rPr>
          <w:rFonts w:ascii="Microsoft Yahei" w:eastAsia="宋体" w:hAnsi="Microsoft Yahei" w:cs="宋体" w:hint="eastAsia"/>
          <w:color w:val="000000"/>
          <w:kern w:val="0"/>
          <w:sz w:val="24"/>
        </w:rPr>
      </w:pPr>
      <w:r>
        <w:rPr>
          <w:rFonts w:ascii="Microsoft Yahei" w:eastAsia="宋体" w:hAnsi="Microsoft Yahei" w:cs="宋体" w:hint="eastAsia"/>
          <w:color w:val="000000"/>
          <w:kern w:val="0"/>
          <w:sz w:val="24"/>
        </w:rPr>
        <w:t>另外</w:t>
      </w:r>
      <w:r w:rsidR="00673B2D" w:rsidRPr="00235EDB">
        <w:rPr>
          <w:rFonts w:ascii="Microsoft Yahei" w:eastAsia="宋体" w:hAnsi="Microsoft Yahei" w:cs="宋体" w:hint="eastAsia"/>
          <w:color w:val="000000"/>
          <w:kern w:val="0"/>
          <w:sz w:val="24"/>
        </w:rPr>
        <w:t>贝克休斯</w:t>
      </w:r>
      <w:r w:rsidR="00673B2D" w:rsidRPr="00235EDB">
        <w:rPr>
          <w:rFonts w:ascii="Microsoft Yahei" w:eastAsia="宋体" w:hAnsi="Microsoft Yahei" w:cs="宋体" w:hint="eastAsia"/>
          <w:color w:val="000000"/>
          <w:kern w:val="0"/>
          <w:sz w:val="24"/>
        </w:rPr>
        <w:t>12</w:t>
      </w:r>
      <w:r w:rsidR="00673B2D" w:rsidRPr="00235EDB">
        <w:rPr>
          <w:rFonts w:ascii="Microsoft Yahei" w:eastAsia="宋体" w:hAnsi="Microsoft Yahei" w:cs="宋体" w:hint="eastAsia"/>
          <w:color w:val="000000"/>
          <w:kern w:val="0"/>
          <w:sz w:val="24"/>
        </w:rPr>
        <w:t>月</w:t>
      </w:r>
      <w:r w:rsidR="00673B2D" w:rsidRPr="00235EDB">
        <w:rPr>
          <w:rFonts w:ascii="Microsoft Yahei" w:eastAsia="宋体" w:hAnsi="Microsoft Yahei" w:cs="宋体" w:hint="eastAsia"/>
          <w:color w:val="000000"/>
          <w:kern w:val="0"/>
          <w:sz w:val="24"/>
        </w:rPr>
        <w:t>1</w:t>
      </w:r>
      <w:r w:rsidR="00673B2D" w:rsidRPr="00235EDB">
        <w:rPr>
          <w:rFonts w:ascii="Microsoft Yahei" w:eastAsia="宋体" w:hAnsi="Microsoft Yahei" w:cs="宋体" w:hint="eastAsia"/>
          <w:color w:val="000000"/>
          <w:kern w:val="0"/>
          <w:sz w:val="24"/>
        </w:rPr>
        <w:t>日公布</w:t>
      </w:r>
      <w:r>
        <w:rPr>
          <w:rFonts w:ascii="Microsoft Yahei" w:eastAsia="宋体" w:hAnsi="Microsoft Yahei" w:cs="宋体" w:hint="eastAsia"/>
          <w:color w:val="000000"/>
          <w:kern w:val="0"/>
          <w:sz w:val="24"/>
        </w:rPr>
        <w:t>的</w:t>
      </w:r>
      <w:r w:rsidR="00673B2D" w:rsidRPr="00235EDB">
        <w:rPr>
          <w:rFonts w:ascii="Microsoft Yahei" w:eastAsia="宋体" w:hAnsi="Microsoft Yahei" w:cs="宋体" w:hint="eastAsia"/>
          <w:color w:val="000000"/>
          <w:kern w:val="0"/>
          <w:sz w:val="24"/>
        </w:rPr>
        <w:t>数据显示，截至</w:t>
      </w:r>
      <w:r w:rsidR="00673B2D" w:rsidRPr="00235EDB">
        <w:rPr>
          <w:rFonts w:ascii="Microsoft Yahei" w:eastAsia="宋体" w:hAnsi="Microsoft Yahei" w:cs="宋体" w:hint="eastAsia"/>
          <w:color w:val="000000"/>
          <w:kern w:val="0"/>
          <w:sz w:val="24"/>
        </w:rPr>
        <w:t>12</w:t>
      </w:r>
      <w:r w:rsidR="00673B2D" w:rsidRPr="00235EDB">
        <w:rPr>
          <w:rFonts w:ascii="Microsoft Yahei" w:eastAsia="宋体" w:hAnsi="Microsoft Yahei" w:cs="宋体" w:hint="eastAsia"/>
          <w:color w:val="000000"/>
          <w:kern w:val="0"/>
          <w:sz w:val="24"/>
        </w:rPr>
        <w:t>月</w:t>
      </w:r>
      <w:r w:rsidR="00673B2D" w:rsidRPr="00235EDB">
        <w:rPr>
          <w:rFonts w:ascii="Microsoft Yahei" w:eastAsia="宋体" w:hAnsi="Microsoft Yahei" w:cs="宋体" w:hint="eastAsia"/>
          <w:color w:val="000000"/>
          <w:kern w:val="0"/>
          <w:sz w:val="24"/>
        </w:rPr>
        <w:t>1</w:t>
      </w:r>
      <w:r w:rsidR="00673B2D" w:rsidRPr="00235EDB">
        <w:rPr>
          <w:rFonts w:ascii="Microsoft Yahei" w:eastAsia="宋体" w:hAnsi="Microsoft Yahei" w:cs="宋体" w:hint="eastAsia"/>
          <w:color w:val="000000"/>
          <w:kern w:val="0"/>
          <w:sz w:val="24"/>
        </w:rPr>
        <w:t>日当周，美国石油活跃钻井数增加</w:t>
      </w:r>
      <w:r w:rsidR="00673B2D" w:rsidRPr="00235EDB">
        <w:rPr>
          <w:rFonts w:ascii="Microsoft Yahei" w:eastAsia="宋体" w:hAnsi="Microsoft Yahei" w:cs="宋体" w:hint="eastAsia"/>
          <w:color w:val="000000"/>
          <w:kern w:val="0"/>
          <w:sz w:val="24"/>
        </w:rPr>
        <w:t>2</w:t>
      </w:r>
      <w:r w:rsidR="00673B2D" w:rsidRPr="00235EDB">
        <w:rPr>
          <w:rFonts w:ascii="Microsoft Yahei" w:eastAsia="宋体" w:hAnsi="Microsoft Yahei" w:cs="宋体" w:hint="eastAsia"/>
          <w:color w:val="000000"/>
          <w:kern w:val="0"/>
          <w:sz w:val="24"/>
        </w:rPr>
        <w:t>座至</w:t>
      </w:r>
      <w:r w:rsidR="00673B2D" w:rsidRPr="00235EDB">
        <w:rPr>
          <w:rFonts w:ascii="Microsoft Yahei" w:eastAsia="宋体" w:hAnsi="Microsoft Yahei" w:cs="宋体" w:hint="eastAsia"/>
          <w:color w:val="000000"/>
          <w:kern w:val="0"/>
          <w:sz w:val="24"/>
        </w:rPr>
        <w:t>749</w:t>
      </w:r>
      <w:r w:rsidR="00673B2D" w:rsidRPr="00235EDB">
        <w:rPr>
          <w:rFonts w:ascii="Microsoft Yahei" w:eastAsia="宋体" w:hAnsi="Microsoft Yahei" w:cs="宋体" w:hint="eastAsia"/>
          <w:color w:val="000000"/>
          <w:kern w:val="0"/>
          <w:sz w:val="24"/>
        </w:rPr>
        <w:t>，连续第二周录得上升且触及</w:t>
      </w:r>
      <w:r w:rsidR="00673B2D" w:rsidRPr="00235EDB">
        <w:rPr>
          <w:rFonts w:ascii="Microsoft Yahei" w:eastAsia="宋体" w:hAnsi="Microsoft Yahei" w:cs="宋体" w:hint="eastAsia"/>
          <w:color w:val="000000"/>
          <w:kern w:val="0"/>
          <w:sz w:val="24"/>
        </w:rPr>
        <w:t>9</w:t>
      </w:r>
      <w:r w:rsidR="00673B2D" w:rsidRPr="00235EDB">
        <w:rPr>
          <w:rFonts w:ascii="Microsoft Yahei" w:eastAsia="宋体" w:hAnsi="Microsoft Yahei" w:cs="宋体" w:hint="eastAsia"/>
          <w:color w:val="000000"/>
          <w:kern w:val="0"/>
          <w:sz w:val="24"/>
        </w:rPr>
        <w:t>月来最高，因油价接近</w:t>
      </w:r>
      <w:r w:rsidR="00673B2D" w:rsidRPr="00235EDB">
        <w:rPr>
          <w:rFonts w:ascii="Microsoft Yahei" w:eastAsia="宋体" w:hAnsi="Microsoft Yahei" w:cs="宋体" w:hint="eastAsia"/>
          <w:color w:val="000000"/>
          <w:kern w:val="0"/>
          <w:sz w:val="24"/>
        </w:rPr>
        <w:t>2015</w:t>
      </w:r>
      <w:r w:rsidR="00673B2D" w:rsidRPr="00235EDB">
        <w:rPr>
          <w:rFonts w:ascii="Microsoft Yahei" w:eastAsia="宋体" w:hAnsi="Microsoft Yahei" w:cs="宋体" w:hint="eastAsia"/>
          <w:color w:val="000000"/>
          <w:kern w:val="0"/>
          <w:sz w:val="24"/>
        </w:rPr>
        <w:t>年夏季以来最高位，促使美国</w:t>
      </w:r>
      <w:proofErr w:type="gramStart"/>
      <w:r w:rsidR="00673B2D" w:rsidRPr="00235EDB">
        <w:rPr>
          <w:rFonts w:ascii="Microsoft Yahei" w:eastAsia="宋体" w:hAnsi="Microsoft Yahei" w:cs="宋体" w:hint="eastAsia"/>
          <w:color w:val="000000"/>
          <w:kern w:val="0"/>
          <w:sz w:val="24"/>
        </w:rPr>
        <w:t>页岩油产商</w:t>
      </w:r>
      <w:proofErr w:type="gramEnd"/>
      <w:r w:rsidR="00673B2D" w:rsidRPr="00235EDB">
        <w:rPr>
          <w:rFonts w:ascii="Microsoft Yahei" w:eastAsia="宋体" w:hAnsi="Microsoft Yahei" w:cs="宋体" w:hint="eastAsia"/>
          <w:color w:val="000000"/>
          <w:kern w:val="0"/>
          <w:sz w:val="24"/>
        </w:rPr>
        <w:t>加大生产。去年同期美国石油活跃钻井数为</w:t>
      </w:r>
      <w:r w:rsidR="00673B2D" w:rsidRPr="00235EDB">
        <w:rPr>
          <w:rFonts w:ascii="Microsoft Yahei" w:eastAsia="宋体" w:hAnsi="Microsoft Yahei" w:cs="宋体" w:hint="eastAsia"/>
          <w:color w:val="000000"/>
          <w:kern w:val="0"/>
          <w:sz w:val="24"/>
        </w:rPr>
        <w:t>597</w:t>
      </w:r>
      <w:r w:rsidR="00673B2D" w:rsidRPr="00235EDB">
        <w:rPr>
          <w:rFonts w:ascii="Microsoft Yahei" w:eastAsia="宋体" w:hAnsi="Microsoft Yahei" w:cs="宋体" w:hint="eastAsia"/>
          <w:color w:val="000000"/>
          <w:kern w:val="0"/>
          <w:sz w:val="24"/>
        </w:rPr>
        <w:t>座。更多数据显示，截至</w:t>
      </w:r>
      <w:r w:rsidR="00673B2D" w:rsidRPr="00235EDB">
        <w:rPr>
          <w:rFonts w:ascii="Microsoft Yahei" w:eastAsia="宋体" w:hAnsi="Microsoft Yahei" w:cs="宋体" w:hint="eastAsia"/>
          <w:color w:val="000000"/>
          <w:kern w:val="0"/>
          <w:sz w:val="24"/>
        </w:rPr>
        <w:t>12</w:t>
      </w:r>
      <w:r w:rsidR="00673B2D" w:rsidRPr="00235EDB">
        <w:rPr>
          <w:rFonts w:ascii="Microsoft Yahei" w:eastAsia="宋体" w:hAnsi="Microsoft Yahei" w:cs="宋体" w:hint="eastAsia"/>
          <w:color w:val="000000"/>
          <w:kern w:val="0"/>
          <w:sz w:val="24"/>
        </w:rPr>
        <w:t>月</w:t>
      </w:r>
      <w:r w:rsidR="00673B2D" w:rsidRPr="00235EDB">
        <w:rPr>
          <w:rFonts w:ascii="Microsoft Yahei" w:eastAsia="宋体" w:hAnsi="Microsoft Yahei" w:cs="宋体" w:hint="eastAsia"/>
          <w:color w:val="000000"/>
          <w:kern w:val="0"/>
          <w:sz w:val="24"/>
        </w:rPr>
        <w:t>1</w:t>
      </w:r>
      <w:r w:rsidR="00673B2D" w:rsidRPr="00235EDB">
        <w:rPr>
          <w:rFonts w:ascii="Microsoft Yahei" w:eastAsia="宋体" w:hAnsi="Microsoft Yahei" w:cs="宋体" w:hint="eastAsia"/>
          <w:color w:val="000000"/>
          <w:kern w:val="0"/>
          <w:sz w:val="24"/>
        </w:rPr>
        <w:t>日当周美国石油和天然气活跃钻井总数增加</w:t>
      </w:r>
      <w:r w:rsidR="00673B2D" w:rsidRPr="00235EDB">
        <w:rPr>
          <w:rFonts w:ascii="Microsoft Yahei" w:eastAsia="宋体" w:hAnsi="Microsoft Yahei" w:cs="宋体" w:hint="eastAsia"/>
          <w:color w:val="000000"/>
          <w:kern w:val="0"/>
          <w:sz w:val="24"/>
        </w:rPr>
        <w:t>6</w:t>
      </w:r>
      <w:r w:rsidR="00673B2D" w:rsidRPr="00235EDB">
        <w:rPr>
          <w:rFonts w:ascii="Microsoft Yahei" w:eastAsia="宋体" w:hAnsi="Microsoft Yahei" w:cs="宋体" w:hint="eastAsia"/>
          <w:color w:val="000000"/>
          <w:kern w:val="0"/>
          <w:sz w:val="24"/>
        </w:rPr>
        <w:t>座至</w:t>
      </w:r>
      <w:r w:rsidR="00673B2D" w:rsidRPr="00235EDB">
        <w:rPr>
          <w:rFonts w:ascii="Microsoft Yahei" w:eastAsia="宋体" w:hAnsi="Microsoft Yahei" w:cs="宋体" w:hint="eastAsia"/>
          <w:color w:val="000000"/>
          <w:kern w:val="0"/>
          <w:sz w:val="24"/>
        </w:rPr>
        <w:t>929</w:t>
      </w:r>
      <w:r w:rsidR="00673B2D" w:rsidRPr="00235EDB">
        <w:rPr>
          <w:rFonts w:ascii="Microsoft Yahei" w:eastAsia="宋体" w:hAnsi="Microsoft Yahei" w:cs="宋体" w:hint="eastAsia"/>
          <w:color w:val="000000"/>
          <w:kern w:val="0"/>
          <w:sz w:val="24"/>
        </w:rPr>
        <w:t>座。</w:t>
      </w:r>
    </w:p>
    <w:p w:rsidR="00235EDB" w:rsidRDefault="00235EDB" w:rsidP="00235EDB">
      <w:pPr>
        <w:pStyle w:val="2"/>
        <w:spacing w:beforeLines="0"/>
        <w:ind w:firstLineChars="0" w:firstLine="0"/>
      </w:pPr>
      <w:r>
        <w:rPr>
          <w:rFonts w:hint="eastAsia"/>
        </w:rPr>
        <w:t xml:space="preserve">2.4 </w:t>
      </w:r>
      <w:r>
        <w:rPr>
          <w:rFonts w:ascii="宋体" w:eastAsia="宋体" w:hAnsi="宋体" w:cs="宋体" w:hint="eastAsia"/>
        </w:rPr>
        <w:t>原油库存下降，成品油库存上升</w:t>
      </w:r>
    </w:p>
    <w:p w:rsidR="00235EDB" w:rsidRPr="0002502E" w:rsidRDefault="00235EDB" w:rsidP="00235EDB">
      <w:pPr>
        <w:ind w:firstLineChars="0" w:firstLine="0"/>
        <w:jc w:val="center"/>
        <w:rPr>
          <w:rFonts w:ascii="华文细黑" w:hAnsi="华文细黑"/>
        </w:rPr>
      </w:pPr>
      <w:r w:rsidRPr="0002502E">
        <w:rPr>
          <w:rFonts w:ascii="宋体" w:eastAsia="宋体" w:hAnsi="宋体" w:cs="宋体" w:hint="eastAsia"/>
          <w:b/>
        </w:rPr>
        <w:t>图</w:t>
      </w:r>
      <w:r>
        <w:rPr>
          <w:rFonts w:ascii="宋体" w:eastAsia="宋体" w:hAnsi="宋体" w:cs="宋体" w:hint="eastAsia"/>
          <w:b/>
        </w:rPr>
        <w:t>6</w:t>
      </w:r>
      <w:r w:rsidRPr="0002502E">
        <w:rPr>
          <w:rFonts w:ascii="宋体" w:eastAsia="宋体" w:hAnsi="宋体" w:cs="宋体" w:hint="eastAsia"/>
          <w:b/>
        </w:rPr>
        <w:t>：美国原油</w:t>
      </w:r>
      <w:r>
        <w:rPr>
          <w:rFonts w:ascii="宋体" w:eastAsia="宋体" w:hAnsi="宋体" w:cs="宋体" w:hint="eastAsia"/>
          <w:b/>
        </w:rPr>
        <w:t>库存变化</w:t>
      </w:r>
    </w:p>
    <w:p w:rsidR="00235EDB" w:rsidRPr="00310922" w:rsidRDefault="00235EDB" w:rsidP="00235EDB">
      <w:pPr>
        <w:ind w:firstLineChars="0" w:firstLine="0"/>
        <w:jc w:val="center"/>
      </w:pPr>
      <w:r>
        <w:rPr>
          <w:rFonts w:ascii="华文细黑" w:hAnsi="华文细黑" w:hint="eastAsia"/>
          <w:noProof/>
          <w:sz w:val="18"/>
          <w:szCs w:val="18"/>
        </w:rPr>
        <w:drawing>
          <wp:inline distT="0" distB="0" distL="0" distR="0">
            <wp:extent cx="4715510" cy="3305175"/>
            <wp:effectExtent l="19050" t="0" r="889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715510" cy="3305175"/>
                    </a:xfrm>
                    <a:prstGeom prst="rect">
                      <a:avLst/>
                    </a:prstGeom>
                    <a:noFill/>
                    <a:ln w="9525">
                      <a:noFill/>
                      <a:miter lim="800000"/>
                      <a:headEnd/>
                      <a:tailEnd/>
                    </a:ln>
                  </pic:spPr>
                </pic:pic>
              </a:graphicData>
            </a:graphic>
          </wp:inline>
        </w:drawing>
      </w:r>
      <w:r w:rsidRPr="00310922">
        <w:rPr>
          <w:rFonts w:ascii="宋体" w:eastAsia="宋体" w:hAnsi="宋体" w:cs="宋体" w:hint="eastAsia"/>
          <w:sz w:val="18"/>
          <w:szCs w:val="18"/>
        </w:rPr>
        <w:t>数据来源：</w:t>
      </w:r>
      <w:r w:rsidRPr="00310922">
        <w:rPr>
          <w:rFonts w:ascii="华文细黑" w:hAnsi="华文细黑" w:hint="eastAsia"/>
          <w:sz w:val="18"/>
          <w:szCs w:val="18"/>
        </w:rPr>
        <w:t>Wind</w:t>
      </w:r>
      <w:r w:rsidRPr="00310922">
        <w:rPr>
          <w:rFonts w:ascii="宋体" w:eastAsia="宋体" w:hAnsi="宋体" w:cs="宋体" w:hint="eastAsia"/>
          <w:sz w:val="18"/>
          <w:szCs w:val="18"/>
        </w:rPr>
        <w:t>，</w:t>
      </w:r>
      <w:proofErr w:type="gramStart"/>
      <w:r w:rsidRPr="00310922">
        <w:rPr>
          <w:rFonts w:ascii="宋体" w:eastAsia="宋体" w:hAnsi="宋体" w:cs="宋体" w:hint="eastAsia"/>
          <w:sz w:val="18"/>
          <w:szCs w:val="18"/>
        </w:rPr>
        <w:t>兴证期货</w:t>
      </w:r>
      <w:proofErr w:type="gramEnd"/>
      <w:r w:rsidRPr="00310922">
        <w:rPr>
          <w:rFonts w:ascii="宋体" w:eastAsia="宋体" w:hAnsi="宋体" w:cs="宋体" w:hint="eastAsia"/>
          <w:sz w:val="18"/>
          <w:szCs w:val="18"/>
        </w:rPr>
        <w:t>研发部</w:t>
      </w:r>
    </w:p>
    <w:p w:rsidR="00235EDB" w:rsidRPr="00235EDB" w:rsidRDefault="00235EDB" w:rsidP="00235EDB">
      <w:pPr>
        <w:widowControl/>
        <w:shd w:val="clear" w:color="auto" w:fill="FFFFFF"/>
        <w:ind w:firstLineChars="0" w:firstLine="442"/>
        <w:rPr>
          <w:rFonts w:ascii="Microsoft Yahei" w:eastAsia="宋体" w:hAnsi="Microsoft Yahei" w:cs="宋体" w:hint="eastAsia"/>
          <w:kern w:val="0"/>
          <w:sz w:val="24"/>
        </w:rPr>
      </w:pPr>
      <w:r w:rsidRPr="00235EDB">
        <w:rPr>
          <w:rFonts w:ascii="Microsoft Yahei" w:eastAsia="宋体" w:hAnsi="Microsoft Yahei" w:cs="宋体" w:hint="eastAsia"/>
          <w:kern w:val="0"/>
          <w:sz w:val="24"/>
        </w:rPr>
        <w:t>库存方面，截至</w:t>
      </w:r>
      <w:r w:rsidRPr="00235EDB">
        <w:rPr>
          <w:rFonts w:ascii="Microsoft Yahei" w:eastAsia="宋体" w:hAnsi="Microsoft Yahei" w:cs="宋体" w:hint="eastAsia"/>
          <w:kern w:val="0"/>
          <w:sz w:val="24"/>
        </w:rPr>
        <w:t>11</w:t>
      </w:r>
      <w:r w:rsidRPr="00235EDB">
        <w:rPr>
          <w:rFonts w:ascii="Microsoft Yahei" w:eastAsia="宋体" w:hAnsi="Microsoft Yahei" w:cs="宋体" w:hint="eastAsia"/>
          <w:kern w:val="0"/>
          <w:sz w:val="24"/>
        </w:rPr>
        <w:t>月</w:t>
      </w:r>
      <w:r w:rsidRPr="00235EDB">
        <w:rPr>
          <w:rFonts w:ascii="Microsoft Yahei" w:eastAsia="宋体" w:hAnsi="Microsoft Yahei" w:cs="宋体" w:hint="eastAsia"/>
          <w:kern w:val="0"/>
          <w:sz w:val="24"/>
        </w:rPr>
        <w:t>24</w:t>
      </w:r>
      <w:r w:rsidRPr="00235EDB">
        <w:rPr>
          <w:rFonts w:ascii="Microsoft Yahei" w:eastAsia="宋体" w:hAnsi="Microsoft Yahei" w:cs="宋体" w:hint="eastAsia"/>
          <w:kern w:val="0"/>
          <w:sz w:val="24"/>
        </w:rPr>
        <w:t>日当周，美国原油库存减少</w:t>
      </w:r>
      <w:r w:rsidRPr="00235EDB">
        <w:rPr>
          <w:rFonts w:ascii="Microsoft Yahei" w:eastAsia="宋体" w:hAnsi="Microsoft Yahei" w:cs="宋体" w:hint="eastAsia"/>
          <w:kern w:val="0"/>
          <w:sz w:val="24"/>
        </w:rPr>
        <w:t>342.9</w:t>
      </w:r>
      <w:r w:rsidRPr="00235EDB">
        <w:rPr>
          <w:rFonts w:ascii="Microsoft Yahei" w:eastAsia="宋体" w:hAnsi="Microsoft Yahei" w:cs="宋体" w:hint="eastAsia"/>
          <w:kern w:val="0"/>
          <w:sz w:val="24"/>
        </w:rPr>
        <w:t>万桶，创近</w:t>
      </w:r>
      <w:r w:rsidRPr="00235EDB">
        <w:rPr>
          <w:rFonts w:ascii="Microsoft Yahei" w:eastAsia="宋体" w:hAnsi="Microsoft Yahei" w:cs="宋体" w:hint="eastAsia"/>
          <w:kern w:val="0"/>
          <w:sz w:val="24"/>
        </w:rPr>
        <w:t>6</w:t>
      </w:r>
      <w:r w:rsidRPr="00235EDB">
        <w:rPr>
          <w:rFonts w:ascii="Microsoft Yahei" w:eastAsia="宋体" w:hAnsi="Microsoft Yahei" w:cs="宋体" w:hint="eastAsia"/>
          <w:kern w:val="0"/>
          <w:sz w:val="24"/>
        </w:rPr>
        <w:t>周以来最大降幅，美国原油主要交割</w:t>
      </w:r>
      <w:proofErr w:type="gramStart"/>
      <w:r w:rsidRPr="00235EDB">
        <w:rPr>
          <w:rFonts w:ascii="Microsoft Yahei" w:eastAsia="宋体" w:hAnsi="Microsoft Yahei" w:cs="宋体" w:hint="eastAsia"/>
          <w:kern w:val="0"/>
          <w:sz w:val="24"/>
        </w:rPr>
        <w:t>地库欣库存</w:t>
      </w:r>
      <w:proofErr w:type="gramEnd"/>
      <w:r w:rsidRPr="00235EDB">
        <w:rPr>
          <w:rFonts w:ascii="Microsoft Yahei" w:eastAsia="宋体" w:hAnsi="Microsoft Yahei" w:cs="宋体" w:hint="eastAsia"/>
          <w:kern w:val="0"/>
          <w:sz w:val="24"/>
        </w:rPr>
        <w:t>减少</w:t>
      </w:r>
      <w:r w:rsidRPr="00235EDB">
        <w:rPr>
          <w:rFonts w:ascii="Microsoft Yahei" w:eastAsia="宋体" w:hAnsi="Microsoft Yahei" w:cs="宋体" w:hint="eastAsia"/>
          <w:kern w:val="0"/>
          <w:sz w:val="24"/>
        </w:rPr>
        <w:t>291.4</w:t>
      </w:r>
      <w:r w:rsidRPr="00235EDB">
        <w:rPr>
          <w:rFonts w:ascii="Microsoft Yahei" w:eastAsia="宋体" w:hAnsi="Microsoft Yahei" w:cs="宋体" w:hint="eastAsia"/>
          <w:kern w:val="0"/>
          <w:sz w:val="24"/>
        </w:rPr>
        <w:t>万桶，连续</w:t>
      </w:r>
      <w:r w:rsidRPr="00235EDB">
        <w:rPr>
          <w:rFonts w:ascii="Microsoft Yahei" w:eastAsia="宋体" w:hAnsi="Microsoft Yahei" w:cs="宋体" w:hint="eastAsia"/>
          <w:kern w:val="0"/>
          <w:sz w:val="24"/>
        </w:rPr>
        <w:t>3</w:t>
      </w:r>
      <w:r w:rsidRPr="00235EDB">
        <w:rPr>
          <w:rFonts w:ascii="Microsoft Yahei" w:eastAsia="宋体" w:hAnsi="Microsoft Yahei" w:cs="宋体" w:hint="eastAsia"/>
          <w:kern w:val="0"/>
          <w:sz w:val="24"/>
        </w:rPr>
        <w:t>周录得下滑，且创</w:t>
      </w:r>
      <w:r w:rsidRPr="00235EDB">
        <w:rPr>
          <w:rFonts w:ascii="Microsoft Yahei" w:eastAsia="宋体" w:hAnsi="Microsoft Yahei" w:cs="宋体" w:hint="eastAsia"/>
          <w:kern w:val="0"/>
          <w:sz w:val="24"/>
        </w:rPr>
        <w:t>2009</w:t>
      </w:r>
      <w:r w:rsidRPr="00235EDB">
        <w:rPr>
          <w:rFonts w:ascii="Microsoft Yahei" w:eastAsia="宋体" w:hAnsi="Microsoft Yahei" w:cs="宋体" w:hint="eastAsia"/>
          <w:kern w:val="0"/>
          <w:sz w:val="24"/>
        </w:rPr>
        <w:t>年</w:t>
      </w:r>
      <w:r w:rsidRPr="00235EDB">
        <w:rPr>
          <w:rFonts w:ascii="Microsoft Yahei" w:eastAsia="宋体" w:hAnsi="Microsoft Yahei" w:cs="宋体" w:hint="eastAsia"/>
          <w:kern w:val="0"/>
          <w:sz w:val="24"/>
        </w:rPr>
        <w:t>9</w:t>
      </w:r>
      <w:r w:rsidRPr="00235EDB">
        <w:rPr>
          <w:rFonts w:ascii="Microsoft Yahei" w:eastAsia="宋体" w:hAnsi="Microsoft Yahei" w:cs="宋体" w:hint="eastAsia"/>
          <w:kern w:val="0"/>
          <w:sz w:val="24"/>
        </w:rPr>
        <w:t>月</w:t>
      </w:r>
      <w:r w:rsidRPr="00235EDB">
        <w:rPr>
          <w:rFonts w:ascii="Microsoft Yahei" w:eastAsia="宋体" w:hAnsi="Microsoft Yahei" w:cs="宋体" w:hint="eastAsia"/>
          <w:kern w:val="0"/>
          <w:sz w:val="24"/>
        </w:rPr>
        <w:t>18</w:t>
      </w:r>
      <w:r w:rsidRPr="00235EDB">
        <w:rPr>
          <w:rFonts w:ascii="Microsoft Yahei" w:eastAsia="宋体" w:hAnsi="Microsoft Yahei" w:cs="宋体" w:hint="eastAsia"/>
          <w:kern w:val="0"/>
          <w:sz w:val="24"/>
        </w:rPr>
        <w:t>日以来最大降幅。不过美国精炼油库存增加</w:t>
      </w:r>
      <w:r w:rsidRPr="00235EDB">
        <w:rPr>
          <w:rFonts w:ascii="Microsoft Yahei" w:eastAsia="宋体" w:hAnsi="Microsoft Yahei" w:cs="宋体" w:hint="eastAsia"/>
          <w:kern w:val="0"/>
          <w:sz w:val="24"/>
        </w:rPr>
        <w:t>274.7</w:t>
      </w:r>
      <w:r w:rsidRPr="00235EDB">
        <w:rPr>
          <w:rFonts w:ascii="Microsoft Yahei" w:eastAsia="宋体" w:hAnsi="Microsoft Yahei" w:cs="宋体" w:hint="eastAsia"/>
          <w:kern w:val="0"/>
          <w:sz w:val="24"/>
        </w:rPr>
        <w:t>万桶，创近</w:t>
      </w:r>
      <w:r w:rsidRPr="00235EDB">
        <w:rPr>
          <w:rFonts w:ascii="Microsoft Yahei" w:eastAsia="宋体" w:hAnsi="Microsoft Yahei" w:cs="宋体" w:hint="eastAsia"/>
          <w:kern w:val="0"/>
          <w:sz w:val="24"/>
        </w:rPr>
        <w:t>20</w:t>
      </w:r>
      <w:r w:rsidRPr="00235EDB">
        <w:rPr>
          <w:rFonts w:ascii="Microsoft Yahei" w:eastAsia="宋体" w:hAnsi="Microsoft Yahei" w:cs="宋体" w:hint="eastAsia"/>
          <w:kern w:val="0"/>
          <w:sz w:val="24"/>
        </w:rPr>
        <w:t>周以来最大增幅，美国汽油库存增加</w:t>
      </w:r>
      <w:r w:rsidRPr="00235EDB">
        <w:rPr>
          <w:rFonts w:ascii="Microsoft Yahei" w:eastAsia="宋体" w:hAnsi="Microsoft Yahei" w:cs="宋体" w:hint="eastAsia"/>
          <w:kern w:val="0"/>
          <w:sz w:val="24"/>
        </w:rPr>
        <w:t>362.7</w:t>
      </w:r>
      <w:r w:rsidRPr="00235EDB">
        <w:rPr>
          <w:rFonts w:ascii="Microsoft Yahei" w:eastAsia="宋体" w:hAnsi="Microsoft Yahei" w:cs="宋体" w:hint="eastAsia"/>
          <w:kern w:val="0"/>
          <w:sz w:val="24"/>
        </w:rPr>
        <w:t>万桶，连续第</w:t>
      </w:r>
      <w:r w:rsidRPr="00235EDB">
        <w:rPr>
          <w:rFonts w:ascii="Microsoft Yahei" w:eastAsia="宋体" w:hAnsi="Microsoft Yahei" w:cs="宋体" w:hint="eastAsia"/>
          <w:kern w:val="0"/>
          <w:sz w:val="24"/>
        </w:rPr>
        <w:t>3</w:t>
      </w:r>
      <w:r w:rsidRPr="00235EDB">
        <w:rPr>
          <w:rFonts w:ascii="Microsoft Yahei" w:eastAsia="宋体" w:hAnsi="Microsoft Yahei" w:cs="宋体" w:hint="eastAsia"/>
          <w:kern w:val="0"/>
          <w:sz w:val="24"/>
        </w:rPr>
        <w:t>周录得增长且创</w:t>
      </w:r>
      <w:r w:rsidRPr="00235EDB">
        <w:rPr>
          <w:rFonts w:ascii="Microsoft Yahei" w:eastAsia="宋体" w:hAnsi="Microsoft Yahei" w:cs="宋体" w:hint="eastAsia"/>
          <w:kern w:val="0"/>
          <w:sz w:val="24"/>
        </w:rPr>
        <w:t>7</w:t>
      </w:r>
      <w:r w:rsidRPr="00235EDB">
        <w:rPr>
          <w:rFonts w:ascii="Microsoft Yahei" w:eastAsia="宋体" w:hAnsi="Microsoft Yahei" w:cs="宋体" w:hint="eastAsia"/>
          <w:kern w:val="0"/>
          <w:sz w:val="24"/>
        </w:rPr>
        <w:t>月来最大增幅。</w:t>
      </w:r>
    </w:p>
    <w:p w:rsidR="007E585E" w:rsidRPr="007E585E" w:rsidRDefault="007E585E" w:rsidP="007E585E">
      <w:pPr>
        <w:ind w:firstLineChars="0" w:firstLine="0"/>
        <w:rPr>
          <w:b/>
          <w:color w:val="010281"/>
          <w:sz w:val="30"/>
          <w:szCs w:val="30"/>
          <w:u w:val="single"/>
        </w:rPr>
      </w:pPr>
      <w:r w:rsidRPr="007E585E">
        <w:rPr>
          <w:rFonts w:hint="eastAsia"/>
          <w:b/>
          <w:color w:val="010281"/>
          <w:sz w:val="30"/>
          <w:szCs w:val="30"/>
          <w:u w:val="single"/>
        </w:rPr>
        <w:t>2.</w:t>
      </w:r>
      <w:r>
        <w:rPr>
          <w:rFonts w:hint="eastAsia"/>
          <w:b/>
          <w:color w:val="010281"/>
          <w:sz w:val="30"/>
          <w:szCs w:val="30"/>
          <w:u w:val="single"/>
        </w:rPr>
        <w:t>5</w:t>
      </w:r>
      <w:r w:rsidR="00235EDB" w:rsidRPr="00235EDB">
        <w:rPr>
          <w:rFonts w:hint="eastAsia"/>
          <w:b/>
          <w:color w:val="010281"/>
          <w:sz w:val="30"/>
          <w:szCs w:val="30"/>
          <w:u w:val="single"/>
        </w:rPr>
        <w:t>中</w:t>
      </w:r>
      <w:r w:rsidRPr="007E585E">
        <w:rPr>
          <w:rFonts w:hint="eastAsia"/>
          <w:b/>
          <w:color w:val="010281"/>
          <w:sz w:val="30"/>
          <w:szCs w:val="30"/>
          <w:u w:val="single"/>
        </w:rPr>
        <w:t>国原油</w:t>
      </w:r>
      <w:r w:rsidR="00235EDB">
        <w:rPr>
          <w:rFonts w:hint="eastAsia"/>
          <w:b/>
          <w:color w:val="010281"/>
          <w:sz w:val="30"/>
          <w:szCs w:val="30"/>
          <w:u w:val="single"/>
        </w:rPr>
        <w:t>进口需求增加</w:t>
      </w:r>
    </w:p>
    <w:tbl>
      <w:tblPr>
        <w:tblW w:w="0" w:type="auto"/>
        <w:tblLook w:val="04A0"/>
      </w:tblPr>
      <w:tblGrid>
        <w:gridCol w:w="7642"/>
      </w:tblGrid>
      <w:tr w:rsidR="00310922" w:rsidRPr="0002502E" w:rsidTr="00967881">
        <w:tc>
          <w:tcPr>
            <w:tcW w:w="7642" w:type="dxa"/>
          </w:tcPr>
          <w:p w:rsidR="00310922" w:rsidRPr="0002502E" w:rsidRDefault="00310922" w:rsidP="00235EDB">
            <w:pPr>
              <w:ind w:firstLineChars="0" w:firstLine="0"/>
              <w:jc w:val="center"/>
              <w:rPr>
                <w:rFonts w:ascii="华文细黑" w:hAnsi="华文细黑"/>
              </w:rPr>
            </w:pPr>
            <w:r w:rsidRPr="0002502E">
              <w:rPr>
                <w:rFonts w:ascii="宋体" w:eastAsia="宋体" w:hAnsi="宋体" w:cs="宋体" w:hint="eastAsia"/>
                <w:b/>
              </w:rPr>
              <w:t>图</w:t>
            </w:r>
            <w:r w:rsidR="00235EDB">
              <w:rPr>
                <w:rFonts w:ascii="宋体" w:eastAsia="宋体" w:hAnsi="宋体" w:cs="宋体" w:hint="eastAsia"/>
                <w:b/>
              </w:rPr>
              <w:t>7</w:t>
            </w:r>
            <w:r w:rsidRPr="0002502E">
              <w:rPr>
                <w:rFonts w:ascii="宋体" w:eastAsia="宋体" w:hAnsi="宋体" w:cs="宋体" w:hint="eastAsia"/>
                <w:b/>
              </w:rPr>
              <w:t>：</w:t>
            </w:r>
            <w:r w:rsidR="001C7D9F">
              <w:rPr>
                <w:rFonts w:ascii="宋体" w:eastAsia="宋体" w:hAnsi="宋体" w:cs="宋体" w:hint="eastAsia"/>
                <w:b/>
              </w:rPr>
              <w:t>中国</w:t>
            </w:r>
            <w:r w:rsidRPr="0002502E">
              <w:rPr>
                <w:rFonts w:ascii="宋体" w:eastAsia="宋体" w:hAnsi="宋体" w:cs="宋体" w:hint="eastAsia"/>
                <w:b/>
              </w:rPr>
              <w:t>原油</w:t>
            </w:r>
            <w:r w:rsidR="001C7D9F">
              <w:rPr>
                <w:rFonts w:ascii="宋体" w:eastAsia="宋体" w:hAnsi="宋体" w:cs="宋体" w:hint="eastAsia"/>
                <w:b/>
              </w:rPr>
              <w:t>进口数量</w:t>
            </w:r>
          </w:p>
        </w:tc>
      </w:tr>
      <w:tr w:rsidR="00310922" w:rsidTr="00967881">
        <w:tc>
          <w:tcPr>
            <w:tcW w:w="7642" w:type="dxa"/>
          </w:tcPr>
          <w:p w:rsidR="00310922" w:rsidRDefault="001C7D9F" w:rsidP="00967881">
            <w:pPr>
              <w:ind w:firstLineChars="0" w:firstLine="0"/>
            </w:pPr>
            <w:r>
              <w:rPr>
                <w:noProof/>
              </w:rPr>
              <w:lastRenderedPageBreak/>
              <w:drawing>
                <wp:inline distT="0" distB="0" distL="0" distR="0">
                  <wp:extent cx="4714875" cy="315277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4714875" cy="3152775"/>
                          </a:xfrm>
                          <a:prstGeom prst="rect">
                            <a:avLst/>
                          </a:prstGeom>
                          <a:noFill/>
                          <a:ln w="9525">
                            <a:noFill/>
                            <a:miter lim="800000"/>
                            <a:headEnd/>
                            <a:tailEnd/>
                          </a:ln>
                        </pic:spPr>
                      </pic:pic>
                    </a:graphicData>
                  </a:graphic>
                </wp:inline>
              </w:drawing>
            </w:r>
          </w:p>
        </w:tc>
      </w:tr>
      <w:tr w:rsidR="00310922" w:rsidRPr="0096141A" w:rsidTr="00967881">
        <w:tc>
          <w:tcPr>
            <w:tcW w:w="7642" w:type="dxa"/>
          </w:tcPr>
          <w:p w:rsidR="00310922" w:rsidRPr="00310922" w:rsidRDefault="00310922" w:rsidP="00310922">
            <w:pPr>
              <w:pStyle w:val="ac"/>
              <w:ind w:firstLine="360"/>
              <w:rPr>
                <w:rFonts w:ascii="华文细黑" w:hAnsi="华文细黑"/>
                <w:b w:val="0"/>
                <w:color w:val="333333"/>
                <w:sz w:val="18"/>
                <w:szCs w:val="18"/>
              </w:rPr>
            </w:pPr>
            <w:r w:rsidRPr="00310922">
              <w:rPr>
                <w:rFonts w:ascii="华文细黑" w:hAnsi="华文细黑" w:hint="eastAsia"/>
                <w:b w:val="0"/>
                <w:sz w:val="18"/>
                <w:szCs w:val="18"/>
              </w:rPr>
              <w:t>数据来源：Wind</w:t>
            </w:r>
            <w:r w:rsidRPr="00310922">
              <w:rPr>
                <w:rFonts w:ascii="华文细黑" w:hAnsi="华文细黑"/>
                <w:b w:val="0"/>
                <w:sz w:val="18"/>
                <w:szCs w:val="18"/>
              </w:rPr>
              <w:t>，</w:t>
            </w:r>
            <w:proofErr w:type="gramStart"/>
            <w:r w:rsidRPr="00310922">
              <w:rPr>
                <w:rFonts w:ascii="华文细黑" w:hAnsi="华文细黑" w:hint="eastAsia"/>
                <w:b w:val="0"/>
                <w:sz w:val="18"/>
                <w:szCs w:val="18"/>
              </w:rPr>
              <w:t>兴证期货</w:t>
            </w:r>
            <w:proofErr w:type="gramEnd"/>
            <w:r w:rsidRPr="00310922">
              <w:rPr>
                <w:rFonts w:ascii="华文细黑" w:hAnsi="华文细黑" w:hint="eastAsia"/>
                <w:b w:val="0"/>
                <w:sz w:val="18"/>
                <w:szCs w:val="18"/>
              </w:rPr>
              <w:t>研发部</w:t>
            </w:r>
          </w:p>
        </w:tc>
      </w:tr>
    </w:tbl>
    <w:p w:rsidR="00310922" w:rsidRPr="001C7D9F" w:rsidRDefault="001C7D9F" w:rsidP="00235EDB">
      <w:pPr>
        <w:pStyle w:val="af0"/>
        <w:spacing w:before="0" w:beforeAutospacing="0" w:after="0" w:afterAutospacing="0"/>
        <w:ind w:firstLine="442"/>
        <w:jc w:val="both"/>
        <w:rPr>
          <w:rFonts w:ascii="Microsoft Yahei" w:hAnsi="Microsoft Yahei" w:hint="eastAsia"/>
        </w:rPr>
      </w:pPr>
      <w:r>
        <w:rPr>
          <w:rFonts w:ascii="Microsoft Yahei" w:hAnsi="Microsoft Yahei" w:hint="eastAsia"/>
        </w:rPr>
        <w:t>根据</w:t>
      </w:r>
      <w:r w:rsidR="00235EDB">
        <w:rPr>
          <w:rFonts w:ascii="Microsoft Yahei" w:hAnsi="Microsoft Yahei" w:hint="eastAsia"/>
        </w:rPr>
        <w:t>海关</w:t>
      </w:r>
      <w:r>
        <w:rPr>
          <w:rFonts w:ascii="Microsoft Yahei" w:hAnsi="Microsoft Yahei" w:hint="eastAsia"/>
        </w:rPr>
        <w:t>最新的数据显示，</w:t>
      </w:r>
      <w:r w:rsidR="00235EDB">
        <w:rPr>
          <w:rFonts w:ascii="Microsoft Yahei" w:hAnsi="Microsoft Yahei" w:hint="eastAsia"/>
        </w:rPr>
        <w:t>中国</w:t>
      </w:r>
      <w:r w:rsidR="00235EDB">
        <w:rPr>
          <w:rFonts w:ascii="Microsoft Yahei" w:hAnsi="Microsoft Yahei" w:hint="eastAsia"/>
        </w:rPr>
        <w:t>10</w:t>
      </w:r>
      <w:r w:rsidR="00235EDB">
        <w:rPr>
          <w:rFonts w:ascii="Microsoft Yahei" w:hAnsi="Microsoft Yahei" w:hint="eastAsia"/>
        </w:rPr>
        <w:t>月份的原油进口数量为</w:t>
      </w:r>
      <w:r w:rsidR="00235EDB">
        <w:rPr>
          <w:rFonts w:ascii="Microsoft Yahei" w:hAnsi="Microsoft Yahei" w:hint="eastAsia"/>
        </w:rPr>
        <w:t>3103</w:t>
      </w:r>
      <w:r w:rsidR="00235EDB">
        <w:rPr>
          <w:rFonts w:ascii="Microsoft Yahei" w:hAnsi="Microsoft Yahei" w:hint="eastAsia"/>
        </w:rPr>
        <w:t>万吨，同比增加</w:t>
      </w:r>
      <w:r w:rsidR="00235EDB">
        <w:rPr>
          <w:rFonts w:ascii="Microsoft Yahei" w:hAnsi="Microsoft Yahei" w:hint="eastAsia"/>
        </w:rPr>
        <w:t>7.8%</w:t>
      </w:r>
      <w:r w:rsidR="00235EDB">
        <w:rPr>
          <w:rFonts w:ascii="Microsoft Yahei" w:hAnsi="Microsoft Yahei" w:hint="eastAsia"/>
        </w:rPr>
        <w:t>。</w:t>
      </w:r>
      <w:r w:rsidRPr="001C7D9F">
        <w:rPr>
          <w:rFonts w:ascii="Microsoft Yahei" w:hAnsi="Microsoft Yahei" w:hint="eastAsia"/>
        </w:rPr>
        <w:t>中国</w:t>
      </w:r>
      <w:r w:rsidRPr="001C7D9F">
        <w:rPr>
          <w:rFonts w:ascii="Microsoft Yahei" w:hAnsi="Microsoft Yahei" w:hint="eastAsia"/>
        </w:rPr>
        <w:t>11</w:t>
      </w:r>
      <w:r w:rsidRPr="001C7D9F">
        <w:rPr>
          <w:rFonts w:ascii="Microsoft Yahei" w:hAnsi="Microsoft Yahei" w:hint="eastAsia"/>
        </w:rPr>
        <w:t>月份日均从美国进口大约</w:t>
      </w:r>
      <w:r w:rsidRPr="001C7D9F">
        <w:rPr>
          <w:rFonts w:ascii="Microsoft Yahei" w:hAnsi="Microsoft Yahei" w:hint="eastAsia"/>
        </w:rPr>
        <w:t>24.2</w:t>
      </w:r>
      <w:r w:rsidRPr="001C7D9F">
        <w:rPr>
          <w:rFonts w:ascii="Microsoft Yahei" w:hAnsi="Microsoft Yahei" w:hint="eastAsia"/>
        </w:rPr>
        <w:t>万桶原油。</w:t>
      </w:r>
      <w:r w:rsidRPr="001C7D9F">
        <w:rPr>
          <w:rFonts w:ascii="Microsoft Yahei" w:hAnsi="Microsoft Yahei" w:hint="eastAsia"/>
        </w:rPr>
        <w:t>2016</w:t>
      </w:r>
      <w:r w:rsidRPr="001C7D9F">
        <w:rPr>
          <w:rFonts w:ascii="Microsoft Yahei" w:hAnsi="Microsoft Yahei" w:hint="eastAsia"/>
        </w:rPr>
        <w:t>年中国从美国进口几乎为零，而今年前</w:t>
      </w:r>
      <w:r w:rsidRPr="001C7D9F">
        <w:rPr>
          <w:rFonts w:ascii="Microsoft Yahei" w:hAnsi="Microsoft Yahei" w:hint="eastAsia"/>
        </w:rPr>
        <w:t>10</w:t>
      </w:r>
      <w:r w:rsidRPr="001C7D9F">
        <w:rPr>
          <w:rFonts w:ascii="Microsoft Yahei" w:hAnsi="Microsoft Yahei" w:hint="eastAsia"/>
        </w:rPr>
        <w:t>个月月均约</w:t>
      </w:r>
      <w:r w:rsidRPr="001C7D9F">
        <w:rPr>
          <w:rFonts w:ascii="Microsoft Yahei" w:hAnsi="Microsoft Yahei" w:hint="eastAsia"/>
        </w:rPr>
        <w:t>13.5</w:t>
      </w:r>
      <w:r w:rsidRPr="001C7D9F">
        <w:rPr>
          <w:rFonts w:ascii="Microsoft Yahei" w:hAnsi="Microsoft Yahei" w:hint="eastAsia"/>
        </w:rPr>
        <w:t>万桶</w:t>
      </w:r>
      <w:r w:rsidRPr="001C7D9F">
        <w:rPr>
          <w:rFonts w:ascii="Microsoft Yahei" w:hAnsi="Microsoft Yahei" w:hint="eastAsia"/>
        </w:rPr>
        <w:t>/</w:t>
      </w:r>
      <w:r w:rsidRPr="001C7D9F">
        <w:rPr>
          <w:rFonts w:ascii="Microsoft Yahei" w:hAnsi="Microsoft Yahei" w:hint="eastAsia"/>
        </w:rPr>
        <w:t>日</w:t>
      </w:r>
      <w:r w:rsidR="00310922" w:rsidRPr="00310922">
        <w:rPr>
          <w:rFonts w:ascii="华文细黑" w:hAnsi="华文细黑" w:cs="Arial" w:hint="eastAsia"/>
          <w:shd w:val="clear" w:color="auto" w:fill="FFFFFF"/>
        </w:rPr>
        <w:t>。</w:t>
      </w:r>
      <w:r w:rsidR="00310922" w:rsidRPr="00310922">
        <w:rPr>
          <w:rFonts w:ascii="华文细黑" w:hAnsi="华文细黑" w:cs="Arial" w:hint="eastAsia"/>
          <w:shd w:val="clear" w:color="auto" w:fill="FFFFFF"/>
        </w:rPr>
        <w:t> </w:t>
      </w:r>
    </w:p>
    <w:tbl>
      <w:tblPr>
        <w:tblW w:w="0" w:type="auto"/>
        <w:tblLook w:val="04A0"/>
      </w:tblPr>
      <w:tblGrid>
        <w:gridCol w:w="7642"/>
      </w:tblGrid>
      <w:tr w:rsidR="001C7D9F" w:rsidRPr="0002502E" w:rsidTr="00041227">
        <w:tc>
          <w:tcPr>
            <w:tcW w:w="7642" w:type="dxa"/>
          </w:tcPr>
          <w:p w:rsidR="001C7D9F" w:rsidRPr="0002502E" w:rsidRDefault="001C7D9F" w:rsidP="001C7D9F">
            <w:pPr>
              <w:ind w:firstLineChars="0" w:firstLine="0"/>
              <w:jc w:val="center"/>
              <w:rPr>
                <w:rFonts w:ascii="华文细黑" w:hAnsi="华文细黑"/>
              </w:rPr>
            </w:pPr>
            <w:r w:rsidRPr="0002502E">
              <w:rPr>
                <w:rFonts w:ascii="宋体" w:eastAsia="宋体" w:hAnsi="宋体" w:cs="宋体" w:hint="eastAsia"/>
                <w:b/>
              </w:rPr>
              <w:t>图</w:t>
            </w:r>
            <w:r w:rsidR="00235EDB">
              <w:rPr>
                <w:rFonts w:ascii="华文细黑" w:hAnsi="华文细黑" w:hint="eastAsia"/>
                <w:b/>
              </w:rPr>
              <w:t>8</w:t>
            </w:r>
            <w:r w:rsidRPr="0002502E">
              <w:rPr>
                <w:rFonts w:ascii="宋体" w:eastAsia="宋体" w:hAnsi="宋体" w:cs="宋体" w:hint="eastAsia"/>
                <w:b/>
              </w:rPr>
              <w:t>：</w:t>
            </w:r>
            <w:r>
              <w:rPr>
                <w:rFonts w:ascii="宋体" w:eastAsia="宋体" w:hAnsi="宋体" w:cs="宋体" w:hint="eastAsia"/>
                <w:b/>
              </w:rPr>
              <w:t>中国汽油、柴油进口数量</w:t>
            </w:r>
          </w:p>
        </w:tc>
      </w:tr>
      <w:tr w:rsidR="001C7D9F" w:rsidTr="00041227">
        <w:tc>
          <w:tcPr>
            <w:tcW w:w="7642" w:type="dxa"/>
          </w:tcPr>
          <w:p w:rsidR="001C7D9F" w:rsidRDefault="001C7D9F" w:rsidP="00041227">
            <w:pPr>
              <w:ind w:firstLineChars="0" w:firstLine="0"/>
            </w:pPr>
            <w:r>
              <w:rPr>
                <w:noProof/>
              </w:rPr>
              <w:drawing>
                <wp:inline distT="0" distB="0" distL="0" distR="0">
                  <wp:extent cx="4714875" cy="3019425"/>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4714875" cy="3019425"/>
                          </a:xfrm>
                          <a:prstGeom prst="rect">
                            <a:avLst/>
                          </a:prstGeom>
                          <a:noFill/>
                          <a:ln w="9525">
                            <a:noFill/>
                            <a:miter lim="800000"/>
                            <a:headEnd/>
                            <a:tailEnd/>
                          </a:ln>
                        </pic:spPr>
                      </pic:pic>
                    </a:graphicData>
                  </a:graphic>
                </wp:inline>
              </w:drawing>
            </w:r>
          </w:p>
        </w:tc>
      </w:tr>
      <w:tr w:rsidR="001C7D9F" w:rsidRPr="00310922" w:rsidTr="00041227">
        <w:tc>
          <w:tcPr>
            <w:tcW w:w="7642" w:type="dxa"/>
          </w:tcPr>
          <w:p w:rsidR="001C7D9F" w:rsidRPr="00310922" w:rsidRDefault="001C7D9F" w:rsidP="00041227">
            <w:pPr>
              <w:pStyle w:val="ac"/>
              <w:ind w:firstLine="360"/>
              <w:rPr>
                <w:rFonts w:ascii="华文细黑" w:hAnsi="华文细黑"/>
                <w:b w:val="0"/>
                <w:color w:val="333333"/>
                <w:sz w:val="18"/>
                <w:szCs w:val="18"/>
              </w:rPr>
            </w:pPr>
            <w:r w:rsidRPr="00310922">
              <w:rPr>
                <w:rFonts w:ascii="华文细黑" w:hAnsi="华文细黑" w:hint="eastAsia"/>
                <w:b w:val="0"/>
                <w:sz w:val="18"/>
                <w:szCs w:val="18"/>
              </w:rPr>
              <w:t>数据来源：Wind</w:t>
            </w:r>
            <w:r w:rsidRPr="00310922">
              <w:rPr>
                <w:rFonts w:ascii="华文细黑" w:hAnsi="华文细黑"/>
                <w:b w:val="0"/>
                <w:sz w:val="18"/>
                <w:szCs w:val="18"/>
              </w:rPr>
              <w:t>，</w:t>
            </w:r>
            <w:proofErr w:type="gramStart"/>
            <w:r w:rsidRPr="00310922">
              <w:rPr>
                <w:rFonts w:ascii="华文细黑" w:hAnsi="华文细黑" w:hint="eastAsia"/>
                <w:b w:val="0"/>
                <w:sz w:val="18"/>
                <w:szCs w:val="18"/>
              </w:rPr>
              <w:t>兴证期货</w:t>
            </w:r>
            <w:proofErr w:type="gramEnd"/>
            <w:r w:rsidRPr="00310922">
              <w:rPr>
                <w:rFonts w:ascii="华文细黑" w:hAnsi="华文细黑" w:hint="eastAsia"/>
                <w:b w:val="0"/>
                <w:sz w:val="18"/>
                <w:szCs w:val="18"/>
              </w:rPr>
              <w:t>研发部</w:t>
            </w:r>
          </w:p>
        </w:tc>
      </w:tr>
    </w:tbl>
    <w:p w:rsidR="001C7D9F"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另外，根据</w:t>
      </w:r>
      <w:r w:rsidR="001C7D9F" w:rsidRPr="00235EDB">
        <w:rPr>
          <w:rFonts w:ascii="Microsoft Yahei" w:hAnsi="Microsoft Yahei" w:hint="eastAsia"/>
        </w:rPr>
        <w:t>中国国家统计局公布的数据显示，</w:t>
      </w:r>
      <w:r w:rsidR="001C7D9F" w:rsidRPr="00235EDB">
        <w:rPr>
          <w:rFonts w:ascii="Microsoft Yahei" w:hAnsi="Microsoft Yahei" w:hint="eastAsia"/>
        </w:rPr>
        <w:t>10</w:t>
      </w:r>
      <w:r w:rsidR="001C7D9F" w:rsidRPr="00235EDB">
        <w:rPr>
          <w:rFonts w:ascii="Microsoft Yahei" w:hAnsi="Microsoft Yahei" w:hint="eastAsia"/>
        </w:rPr>
        <w:t>月份中国的汽油和柴油产量创历史新高，汽油产量同比上升</w:t>
      </w:r>
      <w:r w:rsidR="001C7D9F" w:rsidRPr="00235EDB">
        <w:rPr>
          <w:rFonts w:ascii="Microsoft Yahei" w:hAnsi="Microsoft Yahei" w:hint="eastAsia"/>
        </w:rPr>
        <w:t>3.7%</w:t>
      </w:r>
      <w:r w:rsidR="001C7D9F" w:rsidRPr="00235EDB">
        <w:rPr>
          <w:rFonts w:ascii="Microsoft Yahei" w:hAnsi="Microsoft Yahei" w:hint="eastAsia"/>
        </w:rPr>
        <w:t>至</w:t>
      </w:r>
      <w:r w:rsidR="001C7D9F" w:rsidRPr="00235EDB">
        <w:rPr>
          <w:rFonts w:ascii="Microsoft Yahei" w:hAnsi="Microsoft Yahei" w:hint="eastAsia"/>
        </w:rPr>
        <w:t>1166</w:t>
      </w:r>
      <w:r w:rsidR="001C7D9F" w:rsidRPr="00235EDB">
        <w:rPr>
          <w:rFonts w:ascii="Microsoft Yahei" w:hAnsi="Microsoft Yahei" w:hint="eastAsia"/>
        </w:rPr>
        <w:t>万吨，至少是</w:t>
      </w:r>
      <w:r w:rsidR="001C7D9F" w:rsidRPr="00235EDB">
        <w:rPr>
          <w:rFonts w:ascii="Microsoft Yahei" w:hAnsi="Microsoft Yahei" w:hint="eastAsia"/>
        </w:rPr>
        <w:t>2014</w:t>
      </w:r>
      <w:r w:rsidR="001C7D9F" w:rsidRPr="00235EDB">
        <w:rPr>
          <w:rFonts w:ascii="Microsoft Yahei" w:hAnsi="Microsoft Yahei" w:hint="eastAsia"/>
        </w:rPr>
        <w:lastRenderedPageBreak/>
        <w:t>年</w:t>
      </w:r>
      <w:r w:rsidR="001C7D9F" w:rsidRPr="00235EDB">
        <w:rPr>
          <w:rFonts w:ascii="Microsoft Yahei" w:hAnsi="Microsoft Yahei" w:hint="eastAsia"/>
        </w:rPr>
        <w:t>12</w:t>
      </w:r>
      <w:r w:rsidR="001C7D9F" w:rsidRPr="00235EDB">
        <w:rPr>
          <w:rFonts w:ascii="Microsoft Yahei" w:hAnsi="Microsoft Yahei" w:hint="eastAsia"/>
        </w:rPr>
        <w:t>月统计局开始发布该数据以来的最高水平；柴油产量增长</w:t>
      </w:r>
      <w:r w:rsidR="001C7D9F" w:rsidRPr="00235EDB">
        <w:rPr>
          <w:rFonts w:ascii="Microsoft Yahei" w:hAnsi="Microsoft Yahei" w:hint="eastAsia"/>
        </w:rPr>
        <w:t>4.4%</w:t>
      </w:r>
      <w:r w:rsidR="001C7D9F" w:rsidRPr="00235EDB">
        <w:rPr>
          <w:rFonts w:ascii="Microsoft Yahei" w:hAnsi="Microsoft Yahei" w:hint="eastAsia"/>
        </w:rPr>
        <w:t>，达到</w:t>
      </w:r>
      <w:r w:rsidR="001C7D9F" w:rsidRPr="00235EDB">
        <w:rPr>
          <w:rFonts w:ascii="Microsoft Yahei" w:hAnsi="Microsoft Yahei" w:hint="eastAsia"/>
        </w:rPr>
        <w:t>1644</w:t>
      </w:r>
      <w:r>
        <w:rPr>
          <w:rFonts w:ascii="Microsoft Yahei" w:hAnsi="Microsoft Yahei" w:hint="eastAsia"/>
        </w:rPr>
        <w:t>吨，也是自统计局发布此项数据以来的新高</w:t>
      </w:r>
      <w:r w:rsidR="001C7D9F" w:rsidRPr="00235EDB">
        <w:rPr>
          <w:rFonts w:ascii="Microsoft Yahei" w:hAnsi="Microsoft Yahei" w:hint="eastAsia"/>
        </w:rPr>
        <w:t>。</w:t>
      </w:r>
    </w:p>
    <w:p w:rsidR="00906B50" w:rsidRDefault="007E585E" w:rsidP="007E585E">
      <w:pPr>
        <w:pStyle w:val="1"/>
        <w:spacing w:beforeLines="0"/>
        <w:ind w:firstLineChars="0" w:firstLine="0"/>
      </w:pPr>
      <w:r w:rsidRPr="007E585E">
        <w:rPr>
          <w:rFonts w:hint="eastAsia"/>
        </w:rPr>
        <w:t>3.</w:t>
      </w:r>
      <w:r w:rsidR="00906B50">
        <w:rPr>
          <w:rFonts w:hint="eastAsia"/>
        </w:rPr>
        <w:t>后市展望</w:t>
      </w:r>
    </w:p>
    <w:p w:rsidR="00906B50"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总体</w:t>
      </w:r>
      <w:r w:rsidR="00906B50" w:rsidRPr="00235EDB">
        <w:rPr>
          <w:rFonts w:ascii="Microsoft Yahei" w:hAnsi="Microsoft Yahei" w:hint="eastAsia"/>
        </w:rPr>
        <w:t>来看，</w:t>
      </w:r>
      <w:r w:rsidRPr="00235EDB">
        <w:rPr>
          <w:rFonts w:ascii="Microsoft Yahei" w:hAnsi="Microsoft Yahei" w:hint="eastAsia"/>
        </w:rPr>
        <w:t>OPEC</w:t>
      </w:r>
      <w:r w:rsidRPr="00235EDB">
        <w:rPr>
          <w:rFonts w:ascii="Microsoft Yahei" w:hAnsi="Microsoft Yahei" w:hint="eastAsia"/>
        </w:rPr>
        <w:t>与俄罗斯等非</w:t>
      </w:r>
      <w:r w:rsidRPr="00235EDB">
        <w:rPr>
          <w:rFonts w:ascii="Microsoft Yahei" w:hAnsi="Microsoft Yahei" w:hint="eastAsia"/>
        </w:rPr>
        <w:t>OPEC</w:t>
      </w:r>
      <w:r w:rsidRPr="00235EDB">
        <w:rPr>
          <w:rFonts w:ascii="Microsoft Yahei" w:hAnsi="Microsoft Yahei" w:hint="eastAsia"/>
        </w:rPr>
        <w:t>产油国决定将原油减产协议延长至</w:t>
      </w:r>
      <w:r w:rsidRPr="00235EDB">
        <w:rPr>
          <w:rFonts w:ascii="Microsoft Yahei" w:hAnsi="Microsoft Yahei"/>
        </w:rPr>
        <w:t>2018</w:t>
      </w:r>
      <w:r w:rsidRPr="00235EDB">
        <w:rPr>
          <w:rFonts w:ascii="Microsoft Yahei" w:hAnsi="Microsoft Yahei" w:hint="eastAsia"/>
        </w:rPr>
        <w:t>年年底，这一决定将直接影响未来国际原油供需平衡与价格走向，</w:t>
      </w:r>
      <w:r w:rsidRPr="00235EDB">
        <w:rPr>
          <w:rFonts w:ascii="Microsoft Yahei" w:hAnsi="Microsoft Yahei" w:hint="eastAsia"/>
        </w:rPr>
        <w:t>OPEC</w:t>
      </w:r>
      <w:r w:rsidRPr="00235EDB">
        <w:rPr>
          <w:rFonts w:ascii="Microsoft Yahei" w:hAnsi="Microsoft Yahei" w:hint="eastAsia"/>
        </w:rPr>
        <w:t>与页岩油生产国之间的原油定价权之争也将陷入持久战</w:t>
      </w:r>
      <w:r w:rsidR="0073451E" w:rsidRPr="00235EDB">
        <w:rPr>
          <w:rFonts w:ascii="Microsoft Yahei" w:hAnsi="Microsoft Yahei" w:hint="eastAsia"/>
        </w:rPr>
        <w:t>。</w:t>
      </w:r>
    </w:p>
    <w:p w:rsidR="00235EDB"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尽管经过近一年的努力，</w:t>
      </w:r>
      <w:r w:rsidRPr="00235EDB">
        <w:rPr>
          <w:rFonts w:ascii="Microsoft Yahei" w:hAnsi="Microsoft Yahei" w:hint="eastAsia"/>
        </w:rPr>
        <w:t>OPEC</w:t>
      </w:r>
      <w:r w:rsidRPr="00235EDB">
        <w:rPr>
          <w:rFonts w:ascii="Microsoft Yahei" w:hAnsi="Microsoft Yahei" w:hint="eastAsia"/>
        </w:rPr>
        <w:t>减产取得了一定成效，原油供过于求的局面得到一定缓解，国际油价有所回升，原油库存也明显下降，但距离其市场平衡的目标仍然较为遥远，让市场价格恢复至</w:t>
      </w:r>
      <w:r w:rsidRPr="00235EDB">
        <w:rPr>
          <w:rFonts w:ascii="Microsoft Yahei" w:hAnsi="Microsoft Yahei"/>
        </w:rPr>
        <w:t>2013</w:t>
      </w:r>
      <w:r w:rsidRPr="00235EDB">
        <w:rPr>
          <w:rFonts w:ascii="Microsoft Yahei" w:hAnsi="Microsoft Yahei" w:hint="eastAsia"/>
        </w:rPr>
        <w:t>年前后每桶</w:t>
      </w:r>
      <w:r w:rsidRPr="00235EDB">
        <w:rPr>
          <w:rFonts w:ascii="Microsoft Yahei" w:hAnsi="Microsoft Yahei"/>
        </w:rPr>
        <w:t>100</w:t>
      </w:r>
      <w:r w:rsidRPr="00235EDB">
        <w:rPr>
          <w:rFonts w:ascii="Microsoft Yahei" w:hAnsi="Microsoft Yahei" w:hint="eastAsia"/>
        </w:rPr>
        <w:t>美元的水平仅有理论上的可能性，而目前的国际油价也远远不能满足高度依赖原油出口的</w:t>
      </w:r>
      <w:r w:rsidRPr="00235EDB">
        <w:rPr>
          <w:rFonts w:ascii="Microsoft Yahei" w:hAnsi="Microsoft Yahei" w:hint="eastAsia"/>
        </w:rPr>
        <w:t>OPEC</w:t>
      </w:r>
      <w:r w:rsidRPr="00235EDB">
        <w:rPr>
          <w:rFonts w:ascii="Microsoft Yahei" w:hAnsi="Microsoft Yahei" w:hint="eastAsia"/>
        </w:rPr>
        <w:t>成员国的财政需求。</w:t>
      </w:r>
    </w:p>
    <w:p w:rsidR="00235EDB"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而打乱国际原油市场格局的就是美国页岩油的井喷。</w:t>
      </w:r>
      <w:r w:rsidRPr="00235EDB">
        <w:rPr>
          <w:rFonts w:ascii="Microsoft Yahei" w:hAnsi="Microsoft Yahei" w:hint="eastAsia"/>
        </w:rPr>
        <w:t>OPEC</w:t>
      </w:r>
      <w:r w:rsidRPr="00235EDB">
        <w:rPr>
          <w:rFonts w:ascii="Microsoft Yahei" w:hAnsi="Microsoft Yahei" w:hint="eastAsia"/>
        </w:rPr>
        <w:t>及非</w:t>
      </w:r>
      <w:r w:rsidRPr="00235EDB">
        <w:rPr>
          <w:rFonts w:ascii="Microsoft Yahei" w:hAnsi="Microsoft Yahei" w:hint="eastAsia"/>
        </w:rPr>
        <w:t>OPEC</w:t>
      </w:r>
      <w:r w:rsidRPr="00235EDB">
        <w:rPr>
          <w:rFonts w:ascii="Microsoft Yahei" w:hAnsi="Microsoft Yahei" w:hint="eastAsia"/>
        </w:rPr>
        <w:t>产油国限产让油价有所回暖，这导致不少页岩油钻井提高产量，在抵消传统产油国减产效果的同时也挤压了其市场占有率</w:t>
      </w:r>
      <w:r w:rsidRPr="00235EDB">
        <w:rPr>
          <w:rFonts w:ascii="Microsoft Yahei" w:hAnsi="Microsoft Yahei"/>
        </w:rPr>
        <w:t>。</w:t>
      </w:r>
    </w:p>
    <w:p w:rsidR="00235EDB" w:rsidRPr="00235EDB" w:rsidRDefault="00235EDB" w:rsidP="00235EDB">
      <w:pPr>
        <w:pStyle w:val="af0"/>
        <w:spacing w:before="0" w:beforeAutospacing="0" w:after="0" w:afterAutospacing="0"/>
        <w:ind w:firstLine="442"/>
        <w:jc w:val="both"/>
        <w:rPr>
          <w:rFonts w:ascii="Microsoft Yahei" w:hAnsi="Microsoft Yahei" w:hint="eastAsia"/>
        </w:rPr>
      </w:pPr>
      <w:r w:rsidRPr="00235EDB">
        <w:rPr>
          <w:rFonts w:ascii="Microsoft Yahei" w:hAnsi="Microsoft Yahei" w:hint="eastAsia"/>
        </w:rPr>
        <w:t>目前唯一对传统产油国有利的是全球经济回暖，国际原油需求量明年有望保持回</w:t>
      </w:r>
      <w:r w:rsidR="006C6637">
        <w:rPr>
          <w:rFonts w:ascii="Microsoft Yahei" w:hAnsi="Microsoft Yahei" w:hint="eastAsia"/>
        </w:rPr>
        <w:t>暖趋势。这会在一定程度上缓解供大于求的局面，</w:t>
      </w:r>
      <w:r w:rsidRPr="00235EDB">
        <w:rPr>
          <w:rFonts w:ascii="Microsoft Yahei" w:hAnsi="Microsoft Yahei" w:hint="eastAsia"/>
        </w:rPr>
        <w:t>但</w:t>
      </w:r>
      <w:r w:rsidR="006C6637">
        <w:rPr>
          <w:rFonts w:ascii="Microsoft Yahei" w:hAnsi="Microsoft Yahei" w:hint="eastAsia"/>
        </w:rPr>
        <w:t>后市油价走势</w:t>
      </w:r>
      <w:r w:rsidRPr="00235EDB">
        <w:rPr>
          <w:rFonts w:ascii="Microsoft Yahei" w:hAnsi="Microsoft Yahei" w:hint="eastAsia"/>
        </w:rPr>
        <w:t>究竟将</w:t>
      </w:r>
      <w:r w:rsidR="006C6637">
        <w:rPr>
          <w:rFonts w:ascii="Microsoft Yahei" w:hAnsi="Microsoft Yahei" w:hint="eastAsia"/>
        </w:rPr>
        <w:t>如何变化，</w:t>
      </w:r>
      <w:r w:rsidRPr="00235EDB">
        <w:rPr>
          <w:rFonts w:ascii="Microsoft Yahei" w:hAnsi="Microsoft Yahei" w:hint="eastAsia"/>
        </w:rPr>
        <w:t>主要</w:t>
      </w:r>
      <w:r w:rsidR="006C6637">
        <w:rPr>
          <w:rFonts w:ascii="Microsoft Yahei" w:hAnsi="Microsoft Yahei" w:hint="eastAsia"/>
        </w:rPr>
        <w:t>还是</w:t>
      </w:r>
      <w:r w:rsidRPr="00235EDB">
        <w:rPr>
          <w:rFonts w:ascii="Microsoft Yahei" w:hAnsi="Microsoft Yahei" w:hint="eastAsia"/>
        </w:rPr>
        <w:t>取决于页岩油增</w:t>
      </w:r>
      <w:r>
        <w:rPr>
          <w:rFonts w:ascii="Microsoft Yahei" w:hAnsi="Microsoft Yahei" w:hint="eastAsia"/>
        </w:rPr>
        <w:t>加的产量是否能抵消传统产油国减产的效果并满足全球原油需求的增长，而这不确定性仍较大。</w:t>
      </w:r>
    </w:p>
    <w:p w:rsidR="00906B50" w:rsidRDefault="00906B50"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hint="eastAsia"/>
          <w:color w:val="191919"/>
          <w:shd w:val="clear" w:color="auto" w:fill="FFFFFF"/>
        </w:rPr>
      </w:pPr>
    </w:p>
    <w:p w:rsidR="00AE53F9" w:rsidRDefault="00AE53F9"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235EDB" w:rsidRDefault="00235EDB" w:rsidP="0002502E">
      <w:pPr>
        <w:ind w:firstLine="440"/>
        <w:rPr>
          <w:rFonts w:ascii="华文细黑" w:hAnsi="华文细黑" w:cs="Arial"/>
          <w:color w:val="191919"/>
          <w:shd w:val="clear" w:color="auto" w:fill="FFFFFF"/>
        </w:rPr>
      </w:pPr>
    </w:p>
    <w:p w:rsidR="0002049C" w:rsidRDefault="0002049C" w:rsidP="0002502E">
      <w:pPr>
        <w:ind w:firstLine="440"/>
        <w:rPr>
          <w:rFonts w:ascii="华文细黑" w:hAnsi="华文细黑" w:cs="Arial"/>
          <w:color w:val="191919"/>
          <w:shd w:val="clear" w:color="auto" w:fill="FFFFFF"/>
        </w:rPr>
      </w:pPr>
    </w:p>
    <w:p w:rsidR="009D3D42" w:rsidRDefault="009D3D42" w:rsidP="009D3D42">
      <w:pPr>
        <w:ind w:firstLineChars="0" w:firstLine="0"/>
        <w:rPr>
          <w:rStyle w:val="ab"/>
          <w:color w:val="9DA4D3"/>
        </w:rPr>
      </w:pPr>
      <w:r>
        <w:rPr>
          <w:rStyle w:val="ab"/>
          <w:color w:val="9DA4D3"/>
        </w:rPr>
        <w:lastRenderedPageBreak/>
        <w:t>分析师承诺</w:t>
      </w:r>
    </w:p>
    <w:p w:rsidR="009D3D42" w:rsidRDefault="009D3D42" w:rsidP="009D3D42">
      <w:pPr>
        <w:ind w:firstLine="440"/>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9D3D42" w:rsidRDefault="009D3D42" w:rsidP="009D3D42">
      <w:pPr>
        <w:ind w:firstLine="440"/>
        <w:rPr>
          <w:rStyle w:val="ab"/>
          <w:rFonts w:ascii="Times New Roman"/>
          <w:b w:val="0"/>
          <w:color w:val="auto"/>
          <w:sz w:val="22"/>
          <w:szCs w:val="24"/>
        </w:rPr>
      </w:pPr>
    </w:p>
    <w:p w:rsidR="009D3D42" w:rsidRDefault="009D3D42" w:rsidP="009D3D42">
      <w:pPr>
        <w:ind w:firstLineChars="0" w:firstLine="0"/>
        <w:rPr>
          <w:rStyle w:val="ab"/>
          <w:color w:val="9DA4D3"/>
        </w:rPr>
      </w:pPr>
      <w:r>
        <w:rPr>
          <w:rStyle w:val="ab"/>
          <w:color w:val="9DA4D3"/>
        </w:rPr>
        <w:t>免责声明</w:t>
      </w:r>
    </w:p>
    <w:p w:rsidR="009D3D42" w:rsidRDefault="009D3D42" w:rsidP="009D3D42">
      <w:pPr>
        <w:ind w:firstLine="440"/>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9D3D42" w:rsidRDefault="009D3D42" w:rsidP="009D3D42">
      <w:pPr>
        <w:ind w:firstLine="440"/>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9D3D42" w:rsidRDefault="009D3D42" w:rsidP="009D3D42">
      <w:pPr>
        <w:ind w:firstLine="440"/>
      </w:pPr>
      <w:r>
        <w:rPr>
          <w:rFonts w:hint="eastAsia"/>
        </w:rPr>
        <w:t>在任何情况下，本报告中的信息或所表述的意见并不构成对任何人的投资建议。在任何情况下，本公司不对任何人因使用本报告中的任何内容所引致的损失负任何责任。</w:t>
      </w:r>
    </w:p>
    <w:p w:rsidR="009D3D42" w:rsidRDefault="009D3D42" w:rsidP="009D3D42">
      <w:pPr>
        <w:ind w:firstLine="440"/>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9D3D42" w:rsidRDefault="009D3D42" w:rsidP="009D3D42">
      <w:pPr>
        <w:ind w:firstLine="440"/>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p w:rsidR="00884DC5" w:rsidRPr="003F468D" w:rsidRDefault="00884DC5" w:rsidP="00884DC5">
      <w:pPr>
        <w:ind w:firstLineChars="0" w:firstLine="0"/>
      </w:pPr>
      <w:bookmarkStart w:id="0" w:name="_GoBack"/>
      <w:bookmarkEnd w:id="0"/>
    </w:p>
    <w:sectPr w:rsidR="00884DC5" w:rsidRPr="003F468D" w:rsidSect="00932373">
      <w:headerReference w:type="even" r:id="rId17"/>
      <w:headerReference w:type="default" r:id="rId18"/>
      <w:footerReference w:type="even" r:id="rId19"/>
      <w:footerReference w:type="default" r:id="rId20"/>
      <w:headerReference w:type="first" r:id="rId21"/>
      <w:footerReference w:type="first" r:id="rId22"/>
      <w:pgSz w:w="11906" w:h="16838" w:code="9"/>
      <w:pgMar w:top="1440" w:right="851" w:bottom="1440" w:left="3402" w:header="851" w:footer="992" w:gutter="227"/>
      <w:cols w:space="425"/>
      <w:docGrid w:type="lines" w:linePitch="326" w:charSpace="130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BC9" w:rsidRDefault="00B00BC9" w:rsidP="00D263F3">
      <w:pPr>
        <w:ind w:firstLine="440"/>
      </w:pPr>
      <w:r>
        <w:separator/>
      </w:r>
    </w:p>
    <w:p w:rsidR="00B00BC9" w:rsidRDefault="00B00BC9" w:rsidP="00D263F3">
      <w:pPr>
        <w:ind w:firstLine="440"/>
      </w:pPr>
    </w:p>
    <w:p w:rsidR="00B00BC9" w:rsidRDefault="00B00BC9" w:rsidP="00D263F3">
      <w:pPr>
        <w:ind w:firstLine="440"/>
      </w:pPr>
    </w:p>
  </w:endnote>
  <w:endnote w:type="continuationSeparator" w:id="0">
    <w:p w:rsidR="00B00BC9" w:rsidRDefault="00B00BC9" w:rsidP="00D263F3">
      <w:pPr>
        <w:ind w:firstLine="440"/>
      </w:pPr>
      <w:r>
        <w:continuationSeparator/>
      </w:r>
    </w:p>
    <w:p w:rsidR="00B00BC9" w:rsidRDefault="00B00BC9" w:rsidP="00D263F3">
      <w:pPr>
        <w:ind w:firstLine="440"/>
      </w:pPr>
    </w:p>
    <w:p w:rsidR="00B00BC9" w:rsidRDefault="00B00BC9" w:rsidP="00D263F3">
      <w:pPr>
        <w:ind w:firstLine="44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细黑">
    <w:altName w:val="Lingoes Unicode"/>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隶书">
    <w:altName w:val="Lingoes Unicode"/>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AC" w:rsidRDefault="00BC1BAC">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AC" w:rsidRDefault="00BC1BAC">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AC" w:rsidRDefault="00BC1BA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BC9" w:rsidRDefault="00B00BC9" w:rsidP="00D263F3">
      <w:pPr>
        <w:ind w:firstLine="440"/>
      </w:pPr>
      <w:r>
        <w:separator/>
      </w:r>
    </w:p>
    <w:p w:rsidR="00B00BC9" w:rsidRDefault="00B00BC9" w:rsidP="00D263F3">
      <w:pPr>
        <w:ind w:firstLine="440"/>
      </w:pPr>
    </w:p>
    <w:p w:rsidR="00B00BC9" w:rsidRDefault="00B00BC9" w:rsidP="00D263F3">
      <w:pPr>
        <w:ind w:firstLine="440"/>
      </w:pPr>
    </w:p>
  </w:footnote>
  <w:footnote w:type="continuationSeparator" w:id="0">
    <w:p w:rsidR="00B00BC9" w:rsidRDefault="00B00BC9" w:rsidP="00D263F3">
      <w:pPr>
        <w:ind w:firstLine="440"/>
      </w:pPr>
      <w:r>
        <w:continuationSeparator/>
      </w:r>
    </w:p>
    <w:p w:rsidR="00B00BC9" w:rsidRDefault="00B00BC9" w:rsidP="00D263F3">
      <w:pPr>
        <w:ind w:firstLine="440"/>
      </w:pPr>
    </w:p>
    <w:p w:rsidR="00B00BC9" w:rsidRDefault="00B00BC9" w:rsidP="00D263F3">
      <w:pPr>
        <w:ind w:firstLine="4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AC" w:rsidRDefault="00BC1BAC">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00" w:rsidRPr="0098113E" w:rsidRDefault="00BC1BAC" w:rsidP="00D263F3">
    <w:pPr>
      <w:pStyle w:val="a4"/>
      <w:ind w:leftChars="-1158" w:left="-2408" w:hangingChars="50" w:hanging="140"/>
      <w:jc w:val="left"/>
      <w:rPr>
        <w:rFonts w:ascii="隶书" w:eastAsia="隶书"/>
        <w:sz w:val="24"/>
      </w:rPr>
    </w:pPr>
    <w:proofErr w:type="gramStart"/>
    <w:r>
      <w:rPr>
        <w:rFonts w:ascii="隶书" w:eastAsia="隶书" w:hint="eastAsia"/>
        <w:sz w:val="28"/>
      </w:rPr>
      <w:t>周</w:t>
    </w:r>
    <w:r w:rsidR="00EE778D" w:rsidRPr="0098113E">
      <w:rPr>
        <w:rFonts w:ascii="隶书" w:eastAsia="隶书" w:hint="eastAsia"/>
        <w:sz w:val="28"/>
      </w:rPr>
      <w:t>度</w:t>
    </w:r>
    <w:r w:rsidR="004C4A00" w:rsidRPr="0098113E">
      <w:rPr>
        <w:rFonts w:ascii="隶书" w:eastAsia="隶书" w:hint="eastAsia"/>
        <w:sz w:val="28"/>
      </w:rPr>
      <w:t>报</w:t>
    </w:r>
    <w:r w:rsidR="00EE778D" w:rsidRPr="0098113E">
      <w:rPr>
        <w:rFonts w:ascii="隶书" w:eastAsia="隶书" w:hint="eastAsia"/>
        <w:sz w:val="28"/>
      </w:rPr>
      <w:t>告</w:t>
    </w:r>
    <w:proofErr w:type="gramEnd"/>
    <w:r w:rsidR="004C4A00" w:rsidRPr="0098113E">
      <w:rPr>
        <w:rFonts w:ascii="隶书" w:eastAsia="隶书" w:hint="eastAsia"/>
        <w:sz w:val="24"/>
      </w:rPr>
      <w:t xml:space="preserve">                                          </w:t>
    </w:r>
    <w:r w:rsidR="00437AB1" w:rsidRPr="0098113E">
      <w:rPr>
        <w:rFonts w:ascii="隶书" w:eastAsia="隶书" w:hint="eastAsia"/>
        <w:sz w:val="24"/>
      </w:rPr>
      <w:t xml:space="preserve">      </w:t>
    </w:r>
    <w:r w:rsidR="004C4A00" w:rsidRPr="0098113E">
      <w:rPr>
        <w:rFonts w:ascii="隶书" w:eastAsia="隶书" w:hint="eastAsia"/>
        <w:sz w:val="24"/>
      </w:rPr>
      <w:t xml:space="preserve">  </w:t>
    </w:r>
    <w:r w:rsidR="009D0C57">
      <w:rPr>
        <w:rFonts w:ascii="隶书" w:eastAsia="隶书"/>
        <w:noProof/>
        <w:sz w:val="24"/>
      </w:rPr>
      <w:drawing>
        <wp:inline distT="0" distB="0" distL="0" distR="0">
          <wp:extent cx="1669846" cy="216000"/>
          <wp:effectExtent l="19050" t="0" r="6554" b="0"/>
          <wp:docPr id="2" name="图片 4"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122" b="43651"/>
                  <a:stretch>
                    <a:fillRect/>
                  </a:stretch>
                </pic:blipFill>
                <pic:spPr>
                  <a:xfrm>
                    <a:off x="0" y="0"/>
                    <a:ext cx="1669846" cy="2160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BAC" w:rsidRDefault="00BC1BAC">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1">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58FE58F0"/>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3">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HorizontalSpacing w:val="438"/>
  <w:drawingGridVerticalSpacing w:val="163"/>
  <w:displayHorizontalDrawingGridEvery w:val="0"/>
  <w:displayVerticalDrawingGridEvery w:val="2"/>
  <w:characterSpacingControl w:val="compressPunctuation"/>
  <w:hdrShapeDefaults>
    <o:shapedefaults v:ext="edit" spidmax="19458" style="mso-position-horizontal:left;mso-position-horizontal-relative:margin;mso-position-vertical:top;mso-position-vertical-relative:page" fillcolor="#9cf" stroke="f">
      <v:fill color="#9cf"/>
      <v:stroke on="f"/>
      <v:textbox style="layout-flow:vertical-ideographic"/>
      <o:colormru v:ext="edit" colors="#06f,#99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265"/>
    <w:rsid w:val="00001E26"/>
    <w:rsid w:val="00006064"/>
    <w:rsid w:val="00013780"/>
    <w:rsid w:val="0002049C"/>
    <w:rsid w:val="0002502E"/>
    <w:rsid w:val="00025EB7"/>
    <w:rsid w:val="000337C6"/>
    <w:rsid w:val="0003525C"/>
    <w:rsid w:val="00035552"/>
    <w:rsid w:val="00035ACA"/>
    <w:rsid w:val="00043E88"/>
    <w:rsid w:val="00060A4D"/>
    <w:rsid w:val="000651D8"/>
    <w:rsid w:val="00067829"/>
    <w:rsid w:val="00076A2E"/>
    <w:rsid w:val="000862A7"/>
    <w:rsid w:val="000A3DD0"/>
    <w:rsid w:val="000A4223"/>
    <w:rsid w:val="000C655A"/>
    <w:rsid w:val="000D2AE7"/>
    <w:rsid w:val="000D6AE9"/>
    <w:rsid w:val="000E635B"/>
    <w:rsid w:val="0010323D"/>
    <w:rsid w:val="00104D1E"/>
    <w:rsid w:val="00123267"/>
    <w:rsid w:val="00134A99"/>
    <w:rsid w:val="00141EB6"/>
    <w:rsid w:val="001477E4"/>
    <w:rsid w:val="00152496"/>
    <w:rsid w:val="001609E0"/>
    <w:rsid w:val="001813A2"/>
    <w:rsid w:val="001B0BD1"/>
    <w:rsid w:val="001C2AFE"/>
    <w:rsid w:val="001C2EFF"/>
    <w:rsid w:val="001C4806"/>
    <w:rsid w:val="001C6135"/>
    <w:rsid w:val="001C7D9F"/>
    <w:rsid w:val="00201C75"/>
    <w:rsid w:val="00203125"/>
    <w:rsid w:val="002043EE"/>
    <w:rsid w:val="00227A6B"/>
    <w:rsid w:val="00230B36"/>
    <w:rsid w:val="002314E8"/>
    <w:rsid w:val="00235EDB"/>
    <w:rsid w:val="00236B07"/>
    <w:rsid w:val="00290037"/>
    <w:rsid w:val="002B7B17"/>
    <w:rsid w:val="002C5820"/>
    <w:rsid w:val="0031060A"/>
    <w:rsid w:val="00310922"/>
    <w:rsid w:val="00377972"/>
    <w:rsid w:val="003861E9"/>
    <w:rsid w:val="003A21DA"/>
    <w:rsid w:val="003B1265"/>
    <w:rsid w:val="003E6312"/>
    <w:rsid w:val="003F468D"/>
    <w:rsid w:val="004125C0"/>
    <w:rsid w:val="004165E2"/>
    <w:rsid w:val="00437AB1"/>
    <w:rsid w:val="00441909"/>
    <w:rsid w:val="004B6CC7"/>
    <w:rsid w:val="004C3356"/>
    <w:rsid w:val="004C4A00"/>
    <w:rsid w:val="00521CEE"/>
    <w:rsid w:val="00533F61"/>
    <w:rsid w:val="00534893"/>
    <w:rsid w:val="0053682C"/>
    <w:rsid w:val="00541D62"/>
    <w:rsid w:val="005512C2"/>
    <w:rsid w:val="00561224"/>
    <w:rsid w:val="00581C47"/>
    <w:rsid w:val="005A4BB0"/>
    <w:rsid w:val="005B6906"/>
    <w:rsid w:val="005E71D7"/>
    <w:rsid w:val="005F6BE1"/>
    <w:rsid w:val="00620943"/>
    <w:rsid w:val="00650BA2"/>
    <w:rsid w:val="006572C7"/>
    <w:rsid w:val="00673B2D"/>
    <w:rsid w:val="006C6637"/>
    <w:rsid w:val="006C7317"/>
    <w:rsid w:val="006E0B81"/>
    <w:rsid w:val="006F1E37"/>
    <w:rsid w:val="006F2BC1"/>
    <w:rsid w:val="006F6111"/>
    <w:rsid w:val="007004BA"/>
    <w:rsid w:val="007244D0"/>
    <w:rsid w:val="0073451E"/>
    <w:rsid w:val="00743F54"/>
    <w:rsid w:val="00767876"/>
    <w:rsid w:val="00791132"/>
    <w:rsid w:val="007A5EAA"/>
    <w:rsid w:val="007A7123"/>
    <w:rsid w:val="007B2007"/>
    <w:rsid w:val="007C5177"/>
    <w:rsid w:val="007D3FD5"/>
    <w:rsid w:val="007E585E"/>
    <w:rsid w:val="007F28CB"/>
    <w:rsid w:val="0080084E"/>
    <w:rsid w:val="00826366"/>
    <w:rsid w:val="0083002D"/>
    <w:rsid w:val="008300FC"/>
    <w:rsid w:val="00830F54"/>
    <w:rsid w:val="00831FDB"/>
    <w:rsid w:val="0084745A"/>
    <w:rsid w:val="00865E91"/>
    <w:rsid w:val="008702B2"/>
    <w:rsid w:val="00872AC6"/>
    <w:rsid w:val="00880C76"/>
    <w:rsid w:val="00884DC5"/>
    <w:rsid w:val="008B7B6B"/>
    <w:rsid w:val="008D54D6"/>
    <w:rsid w:val="008D6EBC"/>
    <w:rsid w:val="008E156D"/>
    <w:rsid w:val="00906B50"/>
    <w:rsid w:val="00910423"/>
    <w:rsid w:val="00925C3F"/>
    <w:rsid w:val="00925FD5"/>
    <w:rsid w:val="00932373"/>
    <w:rsid w:val="00971634"/>
    <w:rsid w:val="00974905"/>
    <w:rsid w:val="0098113E"/>
    <w:rsid w:val="00995D0B"/>
    <w:rsid w:val="009A0DAD"/>
    <w:rsid w:val="009A6798"/>
    <w:rsid w:val="009B6A82"/>
    <w:rsid w:val="009D0C57"/>
    <w:rsid w:val="009D3D42"/>
    <w:rsid w:val="009E3E78"/>
    <w:rsid w:val="00A0170D"/>
    <w:rsid w:val="00A54D1E"/>
    <w:rsid w:val="00AA4DEA"/>
    <w:rsid w:val="00AA50A7"/>
    <w:rsid w:val="00AD6812"/>
    <w:rsid w:val="00AE53F9"/>
    <w:rsid w:val="00AF26D5"/>
    <w:rsid w:val="00B00BC9"/>
    <w:rsid w:val="00B3427A"/>
    <w:rsid w:val="00B366A9"/>
    <w:rsid w:val="00B43509"/>
    <w:rsid w:val="00B86DCB"/>
    <w:rsid w:val="00B902BB"/>
    <w:rsid w:val="00B91B7B"/>
    <w:rsid w:val="00B933C4"/>
    <w:rsid w:val="00BA6E4C"/>
    <w:rsid w:val="00BC1BAC"/>
    <w:rsid w:val="00BC327C"/>
    <w:rsid w:val="00BE504D"/>
    <w:rsid w:val="00C24368"/>
    <w:rsid w:val="00C300AB"/>
    <w:rsid w:val="00C67AB9"/>
    <w:rsid w:val="00C7465D"/>
    <w:rsid w:val="00CA0E4A"/>
    <w:rsid w:val="00CA4659"/>
    <w:rsid w:val="00CC62E7"/>
    <w:rsid w:val="00CD07C4"/>
    <w:rsid w:val="00D03F58"/>
    <w:rsid w:val="00D263F3"/>
    <w:rsid w:val="00D44DB7"/>
    <w:rsid w:val="00D60CE5"/>
    <w:rsid w:val="00D657DA"/>
    <w:rsid w:val="00D77AA0"/>
    <w:rsid w:val="00DA0535"/>
    <w:rsid w:val="00DD629F"/>
    <w:rsid w:val="00DD7F42"/>
    <w:rsid w:val="00DE1FE3"/>
    <w:rsid w:val="00DF1269"/>
    <w:rsid w:val="00E17500"/>
    <w:rsid w:val="00E35819"/>
    <w:rsid w:val="00E43D0B"/>
    <w:rsid w:val="00E5354B"/>
    <w:rsid w:val="00E545D7"/>
    <w:rsid w:val="00E565BC"/>
    <w:rsid w:val="00E7134E"/>
    <w:rsid w:val="00E875BB"/>
    <w:rsid w:val="00EC2865"/>
    <w:rsid w:val="00EE6F5B"/>
    <w:rsid w:val="00EE778D"/>
    <w:rsid w:val="00F01151"/>
    <w:rsid w:val="00F23EEB"/>
    <w:rsid w:val="00F301C0"/>
    <w:rsid w:val="00F51D44"/>
    <w:rsid w:val="00F644F5"/>
    <w:rsid w:val="00FA092E"/>
    <w:rsid w:val="00FA30CF"/>
    <w:rsid w:val="00FC0742"/>
    <w:rsid w:val="00FC3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style="mso-position-horizontal:left;mso-position-horizontal-relative:margin;mso-position-vertical:top;mso-position-vertical-relative:page" fillcolor="#9cf" stroke="f">
      <v:fill color="#9cf"/>
      <v:stroke on="f"/>
      <v:textbox style="layout-flow:vertical-ideographic"/>
      <o:colormru v:ext="edit" colors="#06f,#99f,#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D263F3"/>
    <w:pPr>
      <w:widowControl w:val="0"/>
      <w:ind w:firstLineChars="200" w:firstLine="200"/>
      <w:jc w:val="both"/>
    </w:pPr>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jc w:val="left"/>
    </w:pPr>
    <w:rPr>
      <w:sz w:val="18"/>
      <w:szCs w:val="18"/>
    </w:rPr>
  </w:style>
  <w:style w:type="character" w:styleId="a6">
    <w:name w:val="Hyperlink"/>
    <w:basedOn w:val="a1"/>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pPr>
      <w:jc w:val="left"/>
    </w:pPr>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qFormat/>
    <w:rsid w:val="00831FDB"/>
    <w:rPr>
      <w:rFonts w:ascii="楷体_GB2312" w:eastAsia="华文细黑"/>
      <w:b/>
      <w:sz w:val="24"/>
    </w:rPr>
  </w:style>
  <w:style w:type="character" w:styleId="ab">
    <w:name w:val="Strong"/>
    <w:uiPriority w:val="22"/>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
    <w:name w:val="标题2"/>
    <w:basedOn w:val="a0"/>
    <w:link w:val="2Char"/>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
    <w:name w:val="标题2 Char"/>
    <w:basedOn w:val="a1"/>
    <w:link w:val="2"/>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jc w:val="left"/>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楷体"/>
      <w:kern w:val="2"/>
      <w:sz w:val="24"/>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rsid w:val="000651D8"/>
    <w:pPr>
      <w:ind w:firstLine="420"/>
    </w:pPr>
  </w:style>
  <w:style w:type="character" w:customStyle="1" w:styleId="2CharChar">
    <w:name w:val="标题2 Char Char"/>
    <w:rsid w:val="00DA0535"/>
    <w:rPr>
      <w:rFonts w:eastAsia="华文细黑"/>
      <w:b/>
      <w:color w:val="010281"/>
      <w:kern w:val="2"/>
      <w:sz w:val="30"/>
      <w:szCs w:val="30"/>
      <w:u w:val="single"/>
    </w:rPr>
  </w:style>
  <w:style w:type="character" w:customStyle="1" w:styleId="CharChar">
    <w:name w:val="图表头 Char Char"/>
    <w:rsid w:val="00DA0535"/>
    <w:rPr>
      <w:rFonts w:eastAsia="华文细黑"/>
      <w:b/>
      <w:kern w:val="2"/>
      <w:sz w:val="21"/>
      <w:szCs w:val="21"/>
    </w:rPr>
  </w:style>
  <w:style w:type="paragraph" w:styleId="af0">
    <w:name w:val="Normal (Web)"/>
    <w:basedOn w:val="a0"/>
    <w:uiPriority w:val="99"/>
    <w:unhideWhenUsed/>
    <w:rsid w:val="007C5177"/>
    <w:pPr>
      <w:widowControl/>
      <w:spacing w:before="100" w:beforeAutospacing="1" w:after="100" w:afterAutospacing="1"/>
      <w:ind w:firstLineChars="0" w:firstLine="0"/>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145808">
      <w:bodyDiv w:val="1"/>
      <w:marLeft w:val="0"/>
      <w:marRight w:val="0"/>
      <w:marTop w:val="0"/>
      <w:marBottom w:val="0"/>
      <w:divBdr>
        <w:top w:val="none" w:sz="0" w:space="0" w:color="auto"/>
        <w:left w:val="none" w:sz="0" w:space="0" w:color="auto"/>
        <w:bottom w:val="none" w:sz="0" w:space="0" w:color="auto"/>
        <w:right w:val="none" w:sz="0" w:space="0" w:color="auto"/>
      </w:divBdr>
    </w:div>
    <w:div w:id="147678100">
      <w:bodyDiv w:val="1"/>
      <w:marLeft w:val="0"/>
      <w:marRight w:val="0"/>
      <w:marTop w:val="0"/>
      <w:marBottom w:val="0"/>
      <w:divBdr>
        <w:top w:val="none" w:sz="0" w:space="0" w:color="auto"/>
        <w:left w:val="none" w:sz="0" w:space="0" w:color="auto"/>
        <w:bottom w:val="none" w:sz="0" w:space="0" w:color="auto"/>
        <w:right w:val="none" w:sz="0" w:space="0" w:color="auto"/>
      </w:divBdr>
    </w:div>
    <w:div w:id="269093572">
      <w:bodyDiv w:val="1"/>
      <w:marLeft w:val="0"/>
      <w:marRight w:val="0"/>
      <w:marTop w:val="0"/>
      <w:marBottom w:val="0"/>
      <w:divBdr>
        <w:top w:val="none" w:sz="0" w:space="0" w:color="auto"/>
        <w:left w:val="none" w:sz="0" w:space="0" w:color="auto"/>
        <w:bottom w:val="none" w:sz="0" w:space="0" w:color="auto"/>
        <w:right w:val="none" w:sz="0" w:space="0" w:color="auto"/>
      </w:divBdr>
    </w:div>
    <w:div w:id="1018578788">
      <w:bodyDiv w:val="1"/>
      <w:marLeft w:val="0"/>
      <w:marRight w:val="0"/>
      <w:marTop w:val="0"/>
      <w:marBottom w:val="0"/>
      <w:divBdr>
        <w:top w:val="none" w:sz="0" w:space="0" w:color="auto"/>
        <w:left w:val="none" w:sz="0" w:space="0" w:color="auto"/>
        <w:bottom w:val="none" w:sz="0" w:space="0" w:color="auto"/>
        <w:right w:val="none" w:sz="0" w:space="0" w:color="auto"/>
      </w:divBdr>
    </w:div>
    <w:div w:id="1642808852">
      <w:bodyDiv w:val="1"/>
      <w:marLeft w:val="0"/>
      <w:marRight w:val="0"/>
      <w:marTop w:val="0"/>
      <w:marBottom w:val="0"/>
      <w:divBdr>
        <w:top w:val="none" w:sz="0" w:space="0" w:color="auto"/>
        <w:left w:val="none" w:sz="0" w:space="0" w:color="auto"/>
        <w:bottom w:val="none" w:sz="0" w:space="0" w:color="auto"/>
        <w:right w:val="none" w:sz="0" w:space="0" w:color="auto"/>
      </w:divBdr>
    </w:div>
    <w:div w:id="1842115345">
      <w:bodyDiv w:val="1"/>
      <w:marLeft w:val="0"/>
      <w:marRight w:val="0"/>
      <w:marTop w:val="0"/>
      <w:marBottom w:val="0"/>
      <w:divBdr>
        <w:top w:val="none" w:sz="0" w:space="0" w:color="auto"/>
        <w:left w:val="none" w:sz="0" w:space="0" w:color="auto"/>
        <w:bottom w:val="none" w:sz="0" w:space="0" w:color="auto"/>
        <w:right w:val="none" w:sz="0" w:space="0" w:color="auto"/>
      </w:divBdr>
    </w:div>
    <w:div w:id="19670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jl@xzfutures.com" TargetMode="Externa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6495;\&#20852;&#35777;&#26399;&#36135;%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73F7-36DF-461B-BBA6-53A7C1C7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兴证期货 - 日报模板</Template>
  <TotalTime>5</TotalTime>
  <Pages>1</Pages>
  <Words>610</Words>
  <Characters>3478</Characters>
  <Application>Microsoft Office Word</Application>
  <DocSecurity>0</DocSecurity>
  <Lines>28</Lines>
  <Paragraphs>8</Paragraphs>
  <ScaleCrop>false</ScaleCrop>
  <Company>微软中国</Company>
  <LinksUpToDate>false</LinksUpToDate>
  <CharactersWithSpaces>4080</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6</cp:revision>
  <cp:lastPrinted>2013-02-22T02:44:00Z</cp:lastPrinted>
  <dcterms:created xsi:type="dcterms:W3CDTF">2017-12-03T01:10:00Z</dcterms:created>
  <dcterms:modified xsi:type="dcterms:W3CDTF">2017-12-04T01:56:00Z</dcterms:modified>
</cp:coreProperties>
</file>