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12164" w:type="dxa"/>
        <w:tblInd w:w="-35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8"/>
        <w:gridCol w:w="2376"/>
        <w:gridCol w:w="5266"/>
        <w:gridCol w:w="944"/>
      </w:tblGrid>
      <w:tr w:rsidR="00AA50A7" w:rsidTr="00AA50A7">
        <w:tc>
          <w:tcPr>
            <w:tcW w:w="5954" w:type="dxa"/>
            <w:gridSpan w:val="2"/>
            <w:shd w:val="clear" w:color="auto" w:fill="010281"/>
          </w:tcPr>
          <w:p w:rsidR="00AA50A7" w:rsidRPr="00C7465D" w:rsidRDefault="000946B6" w:rsidP="006D3E7B">
            <w:pPr>
              <w:ind w:firstLineChars="99" w:firstLine="311"/>
              <w:rPr>
                <w:b/>
                <w:color w:val="FFFFFF" w:themeColor="background1"/>
                <w:sz w:val="32"/>
              </w:rPr>
            </w:pPr>
            <w:r>
              <w:rPr>
                <w:b/>
                <w:noProof/>
                <w:color w:val="FFFFFF" w:themeColor="background1"/>
                <w:sz w:val="32"/>
              </w:rPr>
              <w:pict>
                <v:shapetype id="_x0000_t109" coordsize="21600,21600" o:spt="109" path="m,l,21600r21600,l21600,xe">
                  <v:stroke joinstyle="miter"/>
                  <v:path gradientshapeok="t" o:connecttype="rect"/>
                </v:shapetype>
                <v:shape id="_x0000_s1026" type="#_x0000_t109" style="position:absolute;left:0;text-align:left;margin-left:-8.55pt;margin-top:0;width:182.25pt;height:33.2pt;z-index:251660288;mso-position-horizontal-relative:margin;mso-position-vertical-relative:page" fillcolor="#9da4d3" stroked="f">
                  <v:textbox style="mso-next-textbox:#_x0000_s1026">
                    <w:txbxContent>
                      <w:p w:rsidR="00E16663" w:rsidRDefault="00E16663" w:rsidP="006D3E7B">
                        <w:pPr>
                          <w:ind w:firstLine="628"/>
                        </w:pPr>
                        <w:r w:rsidRPr="00C7465D">
                          <w:rPr>
                            <w:rFonts w:hint="eastAsia"/>
                            <w:b/>
                            <w:color w:val="FFFFFF" w:themeColor="background1"/>
                            <w:sz w:val="32"/>
                          </w:rPr>
                          <w:t>周度报告</w:t>
                        </w:r>
                      </w:p>
                    </w:txbxContent>
                  </v:textbox>
                  <w10:wrap anchorx="margin" anchory="page"/>
                </v:shape>
              </w:pict>
            </w:r>
            <w:r>
              <w:rPr>
                <w:b/>
                <w:noProof/>
                <w:color w:val="FFFFFF" w:themeColor="background1"/>
                <w:sz w:val="32"/>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8" type="#_x0000_t7" style="position:absolute;left:0;text-align:left;margin-left:173.7pt;margin-top:0;width:12pt;height:33.2pt;z-index:251662336;mso-position-horizontal-relative:margin;mso-position-vertical-relative:page" fillcolor="#f2f2f2 [3052]" stroked="f">
                  <v:textbox style="layout-flow:vertical-ideographic"/>
                  <w10:wrap anchorx="margin" anchory="page"/>
                </v:shape>
              </w:pict>
            </w:r>
            <w:r>
              <w:rPr>
                <w:b/>
                <w:noProof/>
                <w:color w:val="FFFFFF" w:themeColor="background1"/>
                <w:sz w:val="32"/>
              </w:rPr>
              <w:pict>
                <v:shape id="_x0000_s1027" type="#_x0000_t7" style="position:absolute;left:0;text-align:left;margin-left:160.2pt;margin-top:0;width:20.25pt;height:33.2pt;z-index:251661312;mso-position-horizontal-relative:margin;mso-position-vertical-relative:page" fillcolor="#9da4d3" stroked="f">
                  <v:textbox style="layout-flow:vertical-ideographic"/>
                  <w10:wrap anchorx="margin" anchory="page"/>
                </v:shape>
              </w:pict>
            </w:r>
            <w:r w:rsidR="00AA50A7" w:rsidRPr="00C7465D">
              <w:rPr>
                <w:b/>
                <w:color w:val="FFFFFF" w:themeColor="background1"/>
                <w:sz w:val="32"/>
              </w:rPr>
              <w:t xml:space="preserve"> </w:t>
            </w:r>
          </w:p>
        </w:tc>
        <w:tc>
          <w:tcPr>
            <w:tcW w:w="6210" w:type="dxa"/>
            <w:gridSpan w:val="2"/>
            <w:shd w:val="clear" w:color="auto" w:fill="010281"/>
          </w:tcPr>
          <w:p w:rsidR="00AA50A7" w:rsidRPr="00C7465D" w:rsidRDefault="00A14E6E" w:rsidP="00B46DCF">
            <w:pPr>
              <w:wordWrap w:val="0"/>
              <w:ind w:firstLine="643"/>
              <w:jc w:val="right"/>
              <w:rPr>
                <w:b/>
                <w:color w:val="FFFFFF" w:themeColor="background1"/>
                <w:sz w:val="32"/>
              </w:rPr>
            </w:pPr>
            <w:r>
              <w:rPr>
                <w:rFonts w:ascii="宋体" w:eastAsia="宋体" w:hAnsi="宋体" w:cs="宋体" w:hint="eastAsia"/>
                <w:b/>
                <w:color w:val="FFFFFF" w:themeColor="background1"/>
                <w:sz w:val="32"/>
              </w:rPr>
              <w:t>商品期货</w:t>
            </w:r>
            <w:r w:rsidR="00AA50A7" w:rsidRPr="00C7465D">
              <w:rPr>
                <w:rFonts w:hint="eastAsia"/>
                <w:b/>
                <w:color w:val="FFFFFF" w:themeColor="background1"/>
                <w:sz w:val="32"/>
              </w:rPr>
              <w:t>.</w:t>
            </w:r>
            <w:r w:rsidR="00B46DCF">
              <w:rPr>
                <w:rFonts w:hint="eastAsia"/>
                <w:b/>
                <w:color w:val="FFFFFF" w:themeColor="background1"/>
                <w:sz w:val="32"/>
              </w:rPr>
              <w:t>原油</w:t>
            </w:r>
            <w:r w:rsidR="00AA50A7" w:rsidRPr="00C7465D">
              <w:rPr>
                <w:rFonts w:hint="eastAsia"/>
                <w:b/>
                <w:color w:val="FFFFFF" w:themeColor="background1"/>
                <w:sz w:val="32"/>
              </w:rPr>
              <w:t xml:space="preserve">    </w:t>
            </w:r>
          </w:p>
        </w:tc>
      </w:tr>
      <w:tr w:rsidR="00AA50A7" w:rsidTr="00AA50A7">
        <w:tc>
          <w:tcPr>
            <w:tcW w:w="5954" w:type="dxa"/>
            <w:gridSpan w:val="2"/>
            <w:shd w:val="clear" w:color="auto" w:fill="auto"/>
          </w:tcPr>
          <w:p w:rsidR="00AA50A7" w:rsidRPr="00144727" w:rsidRDefault="008B0B35" w:rsidP="00D263F3">
            <w:pPr>
              <w:ind w:firstLineChars="150" w:firstLine="330"/>
            </w:pPr>
            <w:r>
              <w:rPr>
                <w:rFonts w:hint="eastAsia"/>
              </w:rPr>
              <w:t>兴证期货</w:t>
            </w:r>
            <w:r w:rsidR="00AA50A7">
              <w:rPr>
                <w:rFonts w:hint="eastAsia"/>
              </w:rPr>
              <w:t>.</w:t>
            </w:r>
            <w:r w:rsidR="00AA50A7">
              <w:rPr>
                <w:rFonts w:hint="eastAsia"/>
              </w:rPr>
              <w:t>研发产品系列</w:t>
            </w:r>
          </w:p>
        </w:tc>
        <w:tc>
          <w:tcPr>
            <w:tcW w:w="6210" w:type="dxa"/>
            <w:gridSpan w:val="2"/>
            <w:shd w:val="clear" w:color="auto" w:fill="auto"/>
          </w:tcPr>
          <w:p w:rsidR="00AA50A7" w:rsidRPr="00144727" w:rsidRDefault="00AA50A7" w:rsidP="00D263F3">
            <w:pPr>
              <w:wordWrap w:val="0"/>
              <w:ind w:firstLine="440"/>
              <w:jc w:val="right"/>
            </w:pPr>
            <w:r>
              <w:rPr>
                <w:rFonts w:hint="eastAsia"/>
              </w:rPr>
              <w:t xml:space="preserve">  </w:t>
            </w:r>
          </w:p>
        </w:tc>
      </w:tr>
      <w:tr w:rsidR="000651D8" w:rsidTr="00E545D7">
        <w:tblPrEx>
          <w:tblBorders>
            <w:bottom w:val="single" w:sz="18" w:space="0" w:color="010281"/>
          </w:tblBorders>
        </w:tblPrEx>
        <w:trPr>
          <w:gridBefore w:val="1"/>
          <w:gridAfter w:val="1"/>
          <w:wBefore w:w="3578" w:type="dxa"/>
          <w:wAfter w:w="944" w:type="dxa"/>
          <w:trHeight w:val="994"/>
        </w:trPr>
        <w:tc>
          <w:tcPr>
            <w:tcW w:w="7642" w:type="dxa"/>
            <w:gridSpan w:val="2"/>
          </w:tcPr>
          <w:p w:rsidR="000651D8" w:rsidRPr="0002322A" w:rsidRDefault="00AF2338" w:rsidP="00AF2338">
            <w:pPr>
              <w:pStyle w:val="a9"/>
              <w:ind w:firstLineChars="95" w:firstLine="420"/>
              <w:jc w:val="center"/>
              <w:rPr>
                <w:rFonts w:ascii="黑体" w:eastAsia="黑体" w:hAnsi="黑体"/>
              </w:rPr>
            </w:pPr>
            <w:r>
              <w:rPr>
                <w:rFonts w:ascii="黑体" w:eastAsia="黑体" w:hAnsi="黑体" w:cs="宋体" w:hint="eastAsia"/>
              </w:rPr>
              <w:t>区间波动为主</w:t>
            </w:r>
          </w:p>
        </w:tc>
      </w:tr>
    </w:tbl>
    <w:tbl>
      <w:tblPr>
        <w:tblStyle w:val="a7"/>
        <w:tblpPr w:leftFromText="180" w:rightFromText="180" w:vertAnchor="text" w:horzAnchor="page" w:tblpX="518" w:tblpY="-990"/>
        <w:tblW w:w="0" w:type="auto"/>
        <w:tblBorders>
          <w:top w:val="none" w:sz="0" w:space="0" w:color="auto"/>
          <w:left w:val="none" w:sz="0" w:space="0" w:color="auto"/>
          <w:bottom w:val="none" w:sz="0" w:space="0" w:color="auto"/>
          <w:right w:val="none" w:sz="0" w:space="0" w:color="auto"/>
          <w:insideH w:val="single" w:sz="12" w:space="0" w:color="010281"/>
          <w:insideV w:val="single" w:sz="12" w:space="0" w:color="1F497D" w:themeColor="text2"/>
        </w:tblBorders>
        <w:tblLook w:val="04A0"/>
      </w:tblPr>
      <w:tblGrid>
        <w:gridCol w:w="2977"/>
      </w:tblGrid>
      <w:tr w:rsidR="008702B2" w:rsidRPr="00932373" w:rsidTr="00932373">
        <w:trPr>
          <w:trHeight w:val="983"/>
        </w:trPr>
        <w:tc>
          <w:tcPr>
            <w:tcW w:w="2977" w:type="dxa"/>
            <w:vAlign w:val="bottom"/>
          </w:tcPr>
          <w:p w:rsidR="008702B2" w:rsidRPr="00932373" w:rsidRDefault="008B0B35" w:rsidP="00D60CE5">
            <w:pPr>
              <w:ind w:firstLineChars="0" w:firstLine="0"/>
              <w:rPr>
                <w:rFonts w:ascii="楷体" w:eastAsia="楷体" w:hAnsi="楷体"/>
                <w:color w:val="010281"/>
              </w:rPr>
            </w:pPr>
            <w:r>
              <w:rPr>
                <w:rFonts w:ascii="楷体" w:eastAsia="楷体" w:hAnsi="楷体" w:hint="eastAsia"/>
                <w:color w:val="010281"/>
              </w:rPr>
              <w:t>兴证期货</w:t>
            </w:r>
            <w:r w:rsidR="00534893" w:rsidRPr="00932373">
              <w:rPr>
                <w:rFonts w:ascii="楷体" w:eastAsia="楷体" w:hAnsi="楷体" w:hint="eastAsia"/>
                <w:color w:val="010281"/>
              </w:rPr>
              <w:t>.研究发展部</w:t>
            </w:r>
          </w:p>
        </w:tc>
      </w:tr>
      <w:tr w:rsidR="00534893" w:rsidRPr="00932373" w:rsidTr="00932373">
        <w:trPr>
          <w:trHeight w:val="4670"/>
        </w:trPr>
        <w:tc>
          <w:tcPr>
            <w:tcW w:w="2977" w:type="dxa"/>
          </w:tcPr>
          <w:p w:rsidR="00FB5217" w:rsidRPr="00B208CC" w:rsidRDefault="00FB5217" w:rsidP="00FB5217">
            <w:pPr>
              <w:ind w:firstLineChars="0" w:firstLine="0"/>
              <w:rPr>
                <w:rFonts w:ascii="楷体" w:eastAsia="楷体" w:hAnsi="楷体"/>
                <w:color w:val="010281"/>
              </w:rPr>
            </w:pPr>
            <w:r w:rsidRPr="00B208CC">
              <w:rPr>
                <w:rFonts w:ascii="楷体" w:eastAsia="楷体" w:hAnsi="楷体" w:hint="eastAsia"/>
                <w:color w:val="010281"/>
              </w:rPr>
              <w:t>能化研究团队</w:t>
            </w:r>
          </w:p>
          <w:p w:rsidR="00FB5217" w:rsidRPr="00B208CC" w:rsidRDefault="00FB5217" w:rsidP="00FB5217">
            <w:pPr>
              <w:ind w:firstLineChars="0" w:firstLine="0"/>
              <w:rPr>
                <w:rFonts w:ascii="楷体" w:eastAsia="楷体" w:hAnsi="楷体"/>
                <w:color w:val="010281"/>
              </w:rPr>
            </w:pPr>
          </w:p>
          <w:p w:rsidR="00FB5217" w:rsidRPr="00B208CC" w:rsidRDefault="00FB5217" w:rsidP="00FB5217">
            <w:pPr>
              <w:ind w:firstLineChars="0" w:firstLine="0"/>
              <w:rPr>
                <w:rFonts w:ascii="楷体" w:eastAsia="楷体" w:hAnsi="楷体"/>
                <w:color w:val="010281"/>
              </w:rPr>
            </w:pPr>
            <w:r w:rsidRPr="00B208CC">
              <w:rPr>
                <w:rFonts w:ascii="楷体" w:eastAsia="楷体" w:hAnsi="楷体" w:hint="eastAsia"/>
                <w:color w:val="010281"/>
              </w:rPr>
              <w:t>林惠</w:t>
            </w:r>
          </w:p>
          <w:p w:rsidR="00FB5217" w:rsidRPr="00B208CC" w:rsidRDefault="00FB5217" w:rsidP="00FB5217">
            <w:pPr>
              <w:ind w:firstLineChars="0" w:firstLine="0"/>
              <w:rPr>
                <w:rFonts w:ascii="楷体" w:eastAsia="楷体" w:hAnsi="楷体"/>
                <w:color w:val="010281"/>
              </w:rPr>
            </w:pPr>
            <w:r w:rsidRPr="00B208CC">
              <w:rPr>
                <w:rFonts w:ascii="楷体" w:eastAsia="楷体" w:hAnsi="楷体" w:hint="eastAsia"/>
                <w:color w:val="010281"/>
              </w:rPr>
              <w:t>从业资格号：F0306148</w:t>
            </w:r>
          </w:p>
          <w:p w:rsidR="00FB5217" w:rsidRPr="00B208CC" w:rsidRDefault="00FB5217" w:rsidP="00FB5217">
            <w:pPr>
              <w:ind w:firstLineChars="0" w:firstLine="0"/>
              <w:rPr>
                <w:rFonts w:ascii="楷体" w:eastAsia="楷体" w:hAnsi="楷体"/>
                <w:color w:val="010281"/>
              </w:rPr>
            </w:pPr>
            <w:r w:rsidRPr="00B208CC">
              <w:rPr>
                <w:rFonts w:ascii="楷体" w:eastAsia="楷体" w:hAnsi="楷体" w:hint="eastAsia"/>
                <w:color w:val="010281"/>
              </w:rPr>
              <w:t>投资咨询资格号：Z0012671</w:t>
            </w:r>
          </w:p>
          <w:p w:rsidR="00FB5217" w:rsidRPr="00B208CC" w:rsidRDefault="00FB5217" w:rsidP="00FB5217">
            <w:pPr>
              <w:ind w:firstLineChars="0" w:firstLine="0"/>
              <w:rPr>
                <w:rFonts w:ascii="楷体" w:eastAsia="楷体" w:hAnsi="楷体"/>
                <w:color w:val="010281"/>
              </w:rPr>
            </w:pPr>
          </w:p>
          <w:p w:rsidR="00FB5217" w:rsidRPr="00B208CC" w:rsidRDefault="00FB5217" w:rsidP="00FB5217">
            <w:pPr>
              <w:ind w:firstLineChars="0" w:firstLine="0"/>
              <w:rPr>
                <w:rFonts w:ascii="楷体" w:eastAsia="楷体" w:hAnsi="楷体"/>
                <w:color w:val="010281"/>
              </w:rPr>
            </w:pPr>
            <w:r w:rsidRPr="00B208CC">
              <w:rPr>
                <w:rFonts w:ascii="楷体" w:eastAsia="楷体" w:hAnsi="楷体" w:hint="eastAsia"/>
                <w:color w:val="010281"/>
              </w:rPr>
              <w:t>刘佳利</w:t>
            </w:r>
          </w:p>
          <w:p w:rsidR="00FB5217" w:rsidRPr="00B208CC" w:rsidRDefault="00FB5217" w:rsidP="00FB5217">
            <w:pPr>
              <w:ind w:firstLineChars="0" w:firstLine="0"/>
              <w:rPr>
                <w:rFonts w:ascii="楷体" w:eastAsia="楷体" w:hAnsi="楷体"/>
                <w:color w:val="010281"/>
              </w:rPr>
            </w:pPr>
            <w:r w:rsidRPr="00B208CC">
              <w:rPr>
                <w:rFonts w:ascii="楷体" w:eastAsia="楷体" w:hAnsi="楷体" w:hint="eastAsia"/>
                <w:color w:val="010281"/>
              </w:rPr>
              <w:t>从业资格号：F0302346</w:t>
            </w:r>
          </w:p>
          <w:p w:rsidR="00FB5217" w:rsidRPr="00B208CC" w:rsidRDefault="00FB5217" w:rsidP="00FB5217">
            <w:pPr>
              <w:ind w:firstLineChars="0" w:firstLine="0"/>
              <w:rPr>
                <w:rFonts w:ascii="楷体" w:eastAsia="楷体" w:hAnsi="楷体"/>
                <w:color w:val="010281"/>
              </w:rPr>
            </w:pPr>
            <w:r w:rsidRPr="00B208CC">
              <w:rPr>
                <w:rFonts w:ascii="楷体" w:eastAsia="楷体" w:hAnsi="楷体" w:hint="eastAsia"/>
                <w:color w:val="010281"/>
              </w:rPr>
              <w:t>投资咨询资格号：Z0011397</w:t>
            </w:r>
          </w:p>
          <w:p w:rsidR="00FB5217" w:rsidRPr="00B208CC" w:rsidRDefault="00FB5217" w:rsidP="00FB5217">
            <w:pPr>
              <w:ind w:firstLineChars="0" w:firstLine="0"/>
              <w:rPr>
                <w:rFonts w:ascii="楷体" w:eastAsia="楷体" w:hAnsi="楷体"/>
                <w:color w:val="010281"/>
              </w:rPr>
            </w:pPr>
          </w:p>
          <w:p w:rsidR="00FB5217" w:rsidRPr="00B208CC" w:rsidRDefault="00FB5217" w:rsidP="00FB5217">
            <w:pPr>
              <w:ind w:firstLineChars="0" w:firstLine="0"/>
              <w:rPr>
                <w:rFonts w:ascii="楷体" w:eastAsia="楷体" w:hAnsi="楷体"/>
                <w:color w:val="010281"/>
              </w:rPr>
            </w:pPr>
            <w:r w:rsidRPr="00B208CC">
              <w:rPr>
                <w:rFonts w:ascii="楷体" w:eastAsia="楷体" w:hAnsi="楷体" w:hint="eastAsia"/>
                <w:color w:val="010281"/>
              </w:rPr>
              <w:t>施海</w:t>
            </w:r>
          </w:p>
          <w:p w:rsidR="00FB5217" w:rsidRPr="00B208CC" w:rsidRDefault="00FB5217" w:rsidP="00FB5217">
            <w:pPr>
              <w:ind w:firstLineChars="0" w:firstLine="0"/>
              <w:rPr>
                <w:rFonts w:ascii="楷体" w:eastAsia="楷体" w:hAnsi="楷体"/>
                <w:color w:val="010281"/>
              </w:rPr>
            </w:pPr>
            <w:r w:rsidRPr="00B208CC">
              <w:rPr>
                <w:rFonts w:ascii="楷体" w:eastAsia="楷体" w:hAnsi="楷体" w:hint="eastAsia"/>
                <w:color w:val="010281"/>
              </w:rPr>
              <w:t>从业资格号：F0273014</w:t>
            </w:r>
          </w:p>
          <w:p w:rsidR="00FB5217" w:rsidRPr="00B208CC" w:rsidRDefault="00FB5217" w:rsidP="00FB5217">
            <w:pPr>
              <w:ind w:firstLineChars="0" w:firstLine="0"/>
              <w:rPr>
                <w:rFonts w:ascii="楷体" w:eastAsia="楷体" w:hAnsi="楷体"/>
                <w:color w:val="010281"/>
              </w:rPr>
            </w:pPr>
            <w:r w:rsidRPr="00B208CC">
              <w:rPr>
                <w:rFonts w:ascii="楷体" w:eastAsia="楷体" w:hAnsi="楷体" w:hint="eastAsia"/>
                <w:color w:val="010281"/>
              </w:rPr>
              <w:t>投资咨询资格号：Z0011937</w:t>
            </w:r>
          </w:p>
          <w:p w:rsidR="00FB5217" w:rsidRPr="00B208CC" w:rsidRDefault="00FB5217" w:rsidP="00FB5217">
            <w:pPr>
              <w:ind w:firstLineChars="0" w:firstLine="0"/>
              <w:rPr>
                <w:rFonts w:ascii="楷体" w:eastAsia="楷体" w:hAnsi="楷体"/>
                <w:color w:val="010281"/>
              </w:rPr>
            </w:pPr>
          </w:p>
          <w:p w:rsidR="00FB5217" w:rsidRPr="00B208CC" w:rsidRDefault="00FB5217" w:rsidP="00FB5217">
            <w:pPr>
              <w:ind w:firstLineChars="0" w:firstLine="0"/>
              <w:rPr>
                <w:rFonts w:ascii="楷体" w:eastAsia="楷体" w:hAnsi="楷体"/>
                <w:color w:val="010281"/>
              </w:rPr>
            </w:pPr>
            <w:r w:rsidRPr="00B208CC">
              <w:rPr>
                <w:rFonts w:ascii="楷体" w:eastAsia="楷体" w:hAnsi="楷体" w:hint="eastAsia"/>
                <w:color w:val="010281"/>
              </w:rPr>
              <w:t>刘倡</w:t>
            </w:r>
          </w:p>
          <w:p w:rsidR="00FB5217" w:rsidRPr="00B208CC" w:rsidRDefault="00FB5217" w:rsidP="00FB5217">
            <w:pPr>
              <w:ind w:firstLineChars="0" w:firstLine="0"/>
              <w:rPr>
                <w:rFonts w:ascii="楷体" w:eastAsia="楷体" w:hAnsi="楷体"/>
                <w:color w:val="010281"/>
              </w:rPr>
            </w:pPr>
            <w:r w:rsidRPr="00B208CC">
              <w:rPr>
                <w:rFonts w:ascii="楷体" w:eastAsia="楷体" w:hAnsi="楷体" w:hint="eastAsia"/>
                <w:color w:val="010281"/>
              </w:rPr>
              <w:t>从业资格号：F3024149</w:t>
            </w:r>
          </w:p>
          <w:p w:rsidR="00FB5217" w:rsidRPr="00B208CC" w:rsidRDefault="00FB5217" w:rsidP="00FB5217">
            <w:pPr>
              <w:ind w:firstLineChars="0" w:firstLine="0"/>
              <w:rPr>
                <w:rFonts w:ascii="楷体" w:eastAsia="楷体" w:hAnsi="楷体"/>
                <w:color w:val="010281"/>
              </w:rPr>
            </w:pPr>
          </w:p>
          <w:p w:rsidR="00FB5217" w:rsidRPr="00B208CC" w:rsidRDefault="00FB5217" w:rsidP="00FB5217">
            <w:pPr>
              <w:ind w:firstLineChars="0" w:firstLine="0"/>
              <w:rPr>
                <w:rFonts w:ascii="楷体" w:eastAsia="楷体" w:hAnsi="楷体"/>
                <w:color w:val="010281"/>
              </w:rPr>
            </w:pPr>
            <w:r w:rsidRPr="00B208CC">
              <w:rPr>
                <w:rFonts w:ascii="楷体" w:eastAsia="楷体" w:hAnsi="楷体" w:hint="eastAsia"/>
                <w:color w:val="010281"/>
              </w:rPr>
              <w:t>联系方式：</w:t>
            </w:r>
          </w:p>
          <w:p w:rsidR="00FB5217" w:rsidRPr="00B208CC" w:rsidRDefault="00FB5217" w:rsidP="00FB5217">
            <w:pPr>
              <w:ind w:firstLineChars="0" w:firstLine="0"/>
              <w:rPr>
                <w:rFonts w:ascii="楷体" w:eastAsia="楷体" w:hAnsi="楷体"/>
                <w:color w:val="010281"/>
              </w:rPr>
            </w:pPr>
            <w:r w:rsidRPr="00B208CC">
              <w:rPr>
                <w:rFonts w:ascii="楷体" w:eastAsia="楷体" w:hAnsi="楷体"/>
                <w:color w:val="010281"/>
              </w:rPr>
              <w:t>021-2037097</w:t>
            </w:r>
            <w:r>
              <w:rPr>
                <w:rFonts w:ascii="楷体" w:eastAsia="楷体" w:hAnsi="楷体" w:hint="eastAsia"/>
                <w:color w:val="010281"/>
              </w:rPr>
              <w:t>2</w:t>
            </w:r>
          </w:p>
          <w:p w:rsidR="00534893" w:rsidRPr="00932373" w:rsidRDefault="00FB5217" w:rsidP="00FB5217">
            <w:pPr>
              <w:ind w:firstLineChars="0" w:firstLine="0"/>
              <w:rPr>
                <w:rFonts w:ascii="楷体" w:eastAsia="楷体" w:hAnsi="楷体"/>
                <w:color w:val="010281"/>
              </w:rPr>
            </w:pPr>
            <w:r w:rsidRPr="00BF3185">
              <w:rPr>
                <w:rFonts w:ascii="楷体" w:eastAsia="楷体" w:hAnsi="楷体"/>
                <w:color w:val="010281"/>
              </w:rPr>
              <w:t>liu</w:t>
            </w:r>
            <w:r>
              <w:rPr>
                <w:rFonts w:ascii="楷体" w:eastAsia="楷体" w:hAnsi="楷体" w:hint="eastAsia"/>
                <w:color w:val="010281"/>
              </w:rPr>
              <w:t>jl</w:t>
            </w:r>
            <w:r w:rsidRPr="00BF3185">
              <w:rPr>
                <w:rFonts w:ascii="楷体" w:eastAsia="楷体" w:hAnsi="楷体"/>
                <w:color w:val="010281"/>
              </w:rPr>
              <w:t>@xzfutures.com</w:t>
            </w:r>
          </w:p>
        </w:tc>
      </w:tr>
    </w:tbl>
    <w:p w:rsidR="000651D8" w:rsidRPr="004271E1" w:rsidRDefault="005040F4" w:rsidP="00843965">
      <w:pPr>
        <w:ind w:firstLineChars="0" w:firstLine="0"/>
        <w:jc w:val="left"/>
        <w:rPr>
          <w:rFonts w:ascii="楷体_GB2312"/>
          <w:b/>
          <w:color w:val="010281"/>
          <w:sz w:val="32"/>
          <w:szCs w:val="32"/>
        </w:rPr>
      </w:pPr>
      <w:r>
        <w:rPr>
          <w:rFonts w:hint="eastAsia"/>
        </w:rPr>
        <w:t xml:space="preserve">                                            </w:t>
      </w:r>
      <w:r w:rsidR="00025FA6">
        <w:rPr>
          <w:rFonts w:hint="eastAsia"/>
        </w:rPr>
        <w:t xml:space="preserve"> </w:t>
      </w:r>
      <w:r w:rsidR="00387346">
        <w:rPr>
          <w:rFonts w:hint="eastAsia"/>
        </w:rPr>
        <w:t xml:space="preserve">  </w:t>
      </w:r>
      <w:r w:rsidR="00025FA6">
        <w:rPr>
          <w:rFonts w:hint="eastAsia"/>
        </w:rPr>
        <w:t>201</w:t>
      </w:r>
      <w:r w:rsidR="00E00A42">
        <w:rPr>
          <w:rFonts w:hint="eastAsia"/>
        </w:rPr>
        <w:t>7</w:t>
      </w:r>
      <w:r w:rsidR="00AA50A7">
        <w:rPr>
          <w:rFonts w:hint="eastAsia"/>
        </w:rPr>
        <w:t>年</w:t>
      </w:r>
      <w:r w:rsidR="00FB5217">
        <w:rPr>
          <w:rFonts w:hint="eastAsia"/>
        </w:rPr>
        <w:t>8</w:t>
      </w:r>
      <w:r w:rsidR="00AA50A7">
        <w:rPr>
          <w:rFonts w:hint="eastAsia"/>
        </w:rPr>
        <w:t>月</w:t>
      </w:r>
      <w:r w:rsidR="00387346">
        <w:rPr>
          <w:rFonts w:hint="eastAsia"/>
        </w:rPr>
        <w:t>2</w:t>
      </w:r>
      <w:r w:rsidR="00FB5217">
        <w:rPr>
          <w:rFonts w:hint="eastAsia"/>
        </w:rPr>
        <w:t>1</w:t>
      </w:r>
      <w:r w:rsidR="00AA50A7">
        <w:rPr>
          <w:rFonts w:hint="eastAsia"/>
        </w:rPr>
        <w:t>日星期</w:t>
      </w:r>
      <w:r w:rsidR="00D15AD7">
        <w:rPr>
          <w:rFonts w:hint="eastAsia"/>
        </w:rPr>
        <w:t>一</w:t>
      </w:r>
      <w:r w:rsidR="00AA50A7">
        <w:rPr>
          <w:rFonts w:hint="eastAsia"/>
        </w:rPr>
        <w:t xml:space="preserve">  </w:t>
      </w:r>
      <w:r w:rsidR="00CA4659" w:rsidRPr="004271E1">
        <w:rPr>
          <w:rStyle w:val="ab"/>
          <w:rFonts w:ascii="宋体" w:eastAsia="宋体" w:hAnsi="宋体" w:cs="宋体" w:hint="eastAsia"/>
          <w:sz w:val="32"/>
          <w:szCs w:val="32"/>
        </w:rPr>
        <w:t>内容提要</w:t>
      </w:r>
      <w:r w:rsidR="000651D8" w:rsidRPr="004271E1">
        <w:rPr>
          <w:rStyle w:val="ab"/>
          <w:rFonts w:hint="eastAsia"/>
          <w:sz w:val="32"/>
          <w:szCs w:val="32"/>
        </w:rPr>
        <w:t xml:space="preserve">  </w:t>
      </w:r>
    </w:p>
    <w:p w:rsidR="000651D8" w:rsidRPr="00CA4659" w:rsidRDefault="000651D8" w:rsidP="000D2AE7">
      <w:pPr>
        <w:pStyle w:val="a"/>
        <w:numPr>
          <w:ilvl w:val="0"/>
          <w:numId w:val="3"/>
        </w:numPr>
        <w:spacing w:before="163"/>
        <w:ind w:firstLineChars="0"/>
        <w:rPr>
          <w:rStyle w:val="aa"/>
          <w:sz w:val="28"/>
        </w:rPr>
      </w:pPr>
      <w:r w:rsidRPr="00CA4659">
        <w:rPr>
          <w:rStyle w:val="aa"/>
          <w:rFonts w:hint="eastAsia"/>
          <w:sz w:val="28"/>
        </w:rPr>
        <w:t>后市展望及策略建议</w:t>
      </w:r>
    </w:p>
    <w:p w:rsidR="00843965" w:rsidRDefault="00AF2338" w:rsidP="00AF2338">
      <w:pPr>
        <w:ind w:firstLine="440"/>
        <w:rPr>
          <w:rFonts w:hint="eastAsia"/>
          <w:szCs w:val="22"/>
        </w:rPr>
      </w:pPr>
      <w:r w:rsidRPr="00AF2338">
        <w:rPr>
          <w:rFonts w:hint="eastAsia"/>
          <w:szCs w:val="22"/>
        </w:rPr>
        <w:t>总体来看，美国夏季出行高峰期即将结束，中国原油需求降低，以及美国国内页岩油产量增加的影响，原油市场利空因素仍然存在；而</w:t>
      </w:r>
      <w:r w:rsidRPr="00601557">
        <w:rPr>
          <w:rFonts w:hint="eastAsia"/>
          <w:szCs w:val="22"/>
        </w:rPr>
        <w:t>OPEC</w:t>
      </w:r>
      <w:r w:rsidRPr="00AF2338">
        <w:rPr>
          <w:rFonts w:hint="eastAsia"/>
          <w:szCs w:val="22"/>
        </w:rPr>
        <w:t>因部分豁免国增产的行为，使得自身限产执行情况不佳，令市场持续不安。目前的利好可能就是美国原油库存的持续下降，但是也需要看到接下来几周是否能持续下降，进而再来判断库存水平是否好转</w:t>
      </w:r>
      <w:r w:rsidRPr="00843965">
        <w:rPr>
          <w:rFonts w:hint="eastAsia"/>
          <w:szCs w:val="22"/>
        </w:rPr>
        <w:t>。</w:t>
      </w:r>
      <w:r w:rsidRPr="00AF2338">
        <w:rPr>
          <w:rFonts w:hint="eastAsia"/>
          <w:szCs w:val="22"/>
        </w:rPr>
        <w:t>短期仍是区间波动为主</w:t>
      </w:r>
      <w:r>
        <w:rPr>
          <w:rFonts w:hint="eastAsia"/>
          <w:szCs w:val="22"/>
        </w:rPr>
        <w:t>。</w:t>
      </w:r>
    </w:p>
    <w:p w:rsidR="00AF2338" w:rsidRDefault="00AF2338" w:rsidP="00AF2338">
      <w:pPr>
        <w:ind w:firstLine="440"/>
        <w:rPr>
          <w:rFonts w:hint="eastAsia"/>
          <w:szCs w:val="22"/>
        </w:rPr>
      </w:pPr>
    </w:p>
    <w:p w:rsidR="00AF2338" w:rsidRDefault="00AF2338" w:rsidP="00AF2338">
      <w:pPr>
        <w:ind w:firstLine="440"/>
        <w:rPr>
          <w:rFonts w:hint="eastAsia"/>
          <w:szCs w:val="22"/>
        </w:rPr>
      </w:pPr>
    </w:p>
    <w:p w:rsidR="00AF2338" w:rsidRDefault="00AF2338" w:rsidP="00AF2338">
      <w:pPr>
        <w:ind w:firstLine="440"/>
        <w:rPr>
          <w:rFonts w:hint="eastAsia"/>
          <w:szCs w:val="22"/>
        </w:rPr>
      </w:pPr>
    </w:p>
    <w:p w:rsidR="00AF2338" w:rsidRDefault="00AF2338" w:rsidP="00AF2338">
      <w:pPr>
        <w:ind w:firstLine="440"/>
        <w:rPr>
          <w:rFonts w:hint="eastAsia"/>
          <w:szCs w:val="22"/>
        </w:rPr>
      </w:pPr>
    </w:p>
    <w:p w:rsidR="00AF2338" w:rsidRDefault="00AF2338" w:rsidP="00AF2338">
      <w:pPr>
        <w:ind w:firstLine="440"/>
        <w:rPr>
          <w:rFonts w:hint="eastAsia"/>
          <w:szCs w:val="22"/>
        </w:rPr>
      </w:pPr>
    </w:p>
    <w:p w:rsidR="00AF2338" w:rsidRDefault="00AF2338" w:rsidP="00AF2338">
      <w:pPr>
        <w:ind w:firstLine="440"/>
        <w:rPr>
          <w:rFonts w:hint="eastAsia"/>
          <w:szCs w:val="22"/>
        </w:rPr>
      </w:pPr>
    </w:p>
    <w:p w:rsidR="00AF2338" w:rsidRDefault="00AF2338" w:rsidP="00AF2338">
      <w:pPr>
        <w:ind w:firstLine="440"/>
        <w:rPr>
          <w:rFonts w:hint="eastAsia"/>
          <w:szCs w:val="22"/>
        </w:rPr>
      </w:pPr>
    </w:p>
    <w:p w:rsidR="00AF2338" w:rsidRDefault="00AF2338" w:rsidP="00AF2338">
      <w:pPr>
        <w:ind w:firstLine="440"/>
        <w:rPr>
          <w:rFonts w:hint="eastAsia"/>
          <w:szCs w:val="22"/>
        </w:rPr>
      </w:pPr>
    </w:p>
    <w:p w:rsidR="00AF2338" w:rsidRDefault="00AF2338" w:rsidP="00AF2338">
      <w:pPr>
        <w:ind w:firstLine="440"/>
        <w:rPr>
          <w:rFonts w:hint="eastAsia"/>
          <w:szCs w:val="22"/>
        </w:rPr>
      </w:pPr>
    </w:p>
    <w:p w:rsidR="00AF2338" w:rsidRDefault="00AF2338" w:rsidP="00AF2338">
      <w:pPr>
        <w:ind w:firstLine="440"/>
        <w:rPr>
          <w:rFonts w:hint="eastAsia"/>
          <w:szCs w:val="22"/>
        </w:rPr>
      </w:pPr>
    </w:p>
    <w:p w:rsidR="00AF2338" w:rsidRDefault="00AF2338" w:rsidP="00AF2338">
      <w:pPr>
        <w:ind w:firstLine="440"/>
        <w:rPr>
          <w:rFonts w:hint="eastAsia"/>
          <w:szCs w:val="22"/>
        </w:rPr>
      </w:pPr>
    </w:p>
    <w:p w:rsidR="00AF2338" w:rsidRDefault="00AF2338" w:rsidP="00AF2338">
      <w:pPr>
        <w:ind w:firstLine="440"/>
        <w:rPr>
          <w:szCs w:val="22"/>
        </w:rPr>
      </w:pPr>
    </w:p>
    <w:p w:rsidR="00A35990" w:rsidRDefault="00A35990" w:rsidP="00AC6E96">
      <w:pPr>
        <w:ind w:firstLine="440"/>
        <w:rPr>
          <w:szCs w:val="22"/>
        </w:rPr>
      </w:pPr>
    </w:p>
    <w:p w:rsidR="00A35990" w:rsidRDefault="00A35990" w:rsidP="00AC6E96">
      <w:pPr>
        <w:ind w:firstLine="440"/>
        <w:rPr>
          <w:szCs w:val="22"/>
        </w:rPr>
      </w:pPr>
    </w:p>
    <w:p w:rsidR="00A35990" w:rsidRDefault="00A35990" w:rsidP="00AC6E96">
      <w:pPr>
        <w:ind w:firstLine="440"/>
        <w:rPr>
          <w:szCs w:val="22"/>
        </w:rPr>
      </w:pPr>
    </w:p>
    <w:p w:rsidR="00D27F27" w:rsidRDefault="00D27F27" w:rsidP="00AC6E96">
      <w:pPr>
        <w:ind w:firstLine="440"/>
        <w:rPr>
          <w:szCs w:val="22"/>
        </w:rPr>
      </w:pPr>
    </w:p>
    <w:p w:rsidR="00A35990" w:rsidRDefault="00A35990" w:rsidP="00AC6E96">
      <w:pPr>
        <w:ind w:firstLine="440"/>
        <w:rPr>
          <w:szCs w:val="22"/>
        </w:rPr>
      </w:pPr>
    </w:p>
    <w:p w:rsidR="00A35990" w:rsidRDefault="00A35990" w:rsidP="00AC6E96">
      <w:pPr>
        <w:ind w:firstLine="440"/>
        <w:rPr>
          <w:szCs w:val="22"/>
        </w:rPr>
      </w:pPr>
    </w:p>
    <w:p w:rsidR="00A35990" w:rsidRPr="00AC6E96" w:rsidRDefault="00A35990" w:rsidP="00AC6E96">
      <w:pPr>
        <w:ind w:firstLine="440"/>
        <w:rPr>
          <w:szCs w:val="22"/>
        </w:rPr>
      </w:pPr>
    </w:p>
    <w:p w:rsidR="000A4223" w:rsidRDefault="00572776" w:rsidP="00F37DC3">
      <w:pPr>
        <w:pStyle w:val="ad"/>
        <w:spacing w:line="360" w:lineRule="auto"/>
        <w:ind w:firstLineChars="55" w:firstLine="194"/>
        <w:jc w:val="both"/>
        <w:rPr>
          <w:b/>
          <w:color w:val="010281"/>
          <w:sz w:val="36"/>
          <w:szCs w:val="36"/>
        </w:rPr>
      </w:pPr>
      <w:r w:rsidRPr="00302548">
        <w:rPr>
          <w:rFonts w:hint="eastAsia"/>
          <w:b/>
          <w:color w:val="010281"/>
          <w:sz w:val="36"/>
          <w:szCs w:val="36"/>
        </w:rPr>
        <w:lastRenderedPageBreak/>
        <w:t>基本面分析</w:t>
      </w:r>
    </w:p>
    <w:tbl>
      <w:tblPr>
        <w:tblStyle w:val="a7"/>
        <w:tblW w:w="7365" w:type="dxa"/>
        <w:jc w:val="center"/>
        <w:tblBorders>
          <w:top w:val="none" w:sz="0" w:space="0" w:color="auto"/>
          <w:left w:val="none" w:sz="0" w:space="0" w:color="auto"/>
          <w:bottom w:val="none" w:sz="0" w:space="0" w:color="auto"/>
          <w:right w:val="none" w:sz="0" w:space="0" w:color="auto"/>
          <w:insideH w:val="single" w:sz="4" w:space="0" w:color="010281"/>
          <w:insideV w:val="single" w:sz="4" w:space="0" w:color="4F81BD" w:themeColor="accent1"/>
        </w:tblBorders>
        <w:tblLayout w:type="fixed"/>
        <w:tblLook w:val="01E0"/>
      </w:tblPr>
      <w:tblGrid>
        <w:gridCol w:w="7365"/>
      </w:tblGrid>
      <w:tr w:rsidR="009D5901" w:rsidRPr="00884DC5" w:rsidTr="00CC08A6">
        <w:trPr>
          <w:trHeight w:val="227"/>
          <w:jc w:val="center"/>
        </w:trPr>
        <w:tc>
          <w:tcPr>
            <w:tcW w:w="7365" w:type="dxa"/>
          </w:tcPr>
          <w:p w:rsidR="009D5901" w:rsidRPr="00884DC5" w:rsidRDefault="00DE5AF4" w:rsidP="007E4D9B">
            <w:pPr>
              <w:pStyle w:val="ac"/>
              <w:ind w:firstLine="422"/>
            </w:pPr>
            <w:r>
              <w:rPr>
                <w:rFonts w:ascii="宋体" w:eastAsia="宋体" w:hAnsi="宋体" w:cs="宋体" w:hint="eastAsia"/>
              </w:rPr>
              <w:t xml:space="preserve"> </w:t>
            </w:r>
            <w:r w:rsidR="009D5901" w:rsidRPr="00884DC5">
              <w:rPr>
                <w:rFonts w:ascii="宋体" w:eastAsia="宋体" w:hAnsi="宋体" w:cs="宋体" w:hint="eastAsia"/>
              </w:rPr>
              <w:t>图</w:t>
            </w:r>
            <w:r w:rsidR="009D166E" w:rsidRPr="00B46DCF">
              <w:rPr>
                <w:rFonts w:eastAsia="宋体"/>
              </w:rPr>
              <w:t>1</w:t>
            </w:r>
            <w:r w:rsidR="00064621">
              <w:rPr>
                <w:rFonts w:ascii="宋体" w:eastAsia="宋体" w:hAnsi="宋体" w:cs="宋体" w:hint="eastAsia"/>
              </w:rPr>
              <w:t>:</w:t>
            </w:r>
            <w:r w:rsidR="007E4D9B">
              <w:rPr>
                <w:rFonts w:ascii="宋体" w:eastAsia="宋体" w:hAnsi="宋体" w:cs="宋体" w:hint="eastAsia"/>
              </w:rPr>
              <w:t>WTI</w:t>
            </w:r>
            <w:r w:rsidR="008724FD">
              <w:rPr>
                <w:rFonts w:ascii="宋体" w:eastAsia="宋体" w:hAnsi="宋体" w:cs="宋体" w:hint="eastAsia"/>
              </w:rPr>
              <w:t>原油</w:t>
            </w:r>
            <w:r w:rsidR="00175EF4">
              <w:rPr>
                <w:rFonts w:ascii="宋体" w:eastAsia="宋体" w:hAnsi="宋体" w:cs="宋体" w:hint="eastAsia"/>
              </w:rPr>
              <w:t>期货</w:t>
            </w:r>
            <w:r w:rsidR="00E00A42">
              <w:rPr>
                <w:rFonts w:ascii="宋体" w:eastAsia="宋体" w:hAnsi="宋体" w:cs="宋体" w:hint="eastAsia"/>
              </w:rPr>
              <w:t>主力合约</w:t>
            </w:r>
            <w:r w:rsidR="00423AD9">
              <w:rPr>
                <w:rFonts w:ascii="宋体" w:eastAsia="宋体" w:hAnsi="宋体" w:cs="宋体" w:hint="eastAsia"/>
              </w:rPr>
              <w:t>日</w:t>
            </w:r>
            <w:r w:rsidR="00675C4D">
              <w:rPr>
                <w:rFonts w:ascii="宋体" w:eastAsia="宋体" w:hAnsi="宋体" w:cs="宋体" w:hint="eastAsia"/>
              </w:rPr>
              <w:t>线</w:t>
            </w:r>
            <w:r w:rsidR="00025FA6">
              <w:rPr>
                <w:rFonts w:ascii="宋体" w:eastAsia="宋体" w:hAnsi="宋体" w:cs="宋体" w:hint="eastAsia"/>
              </w:rPr>
              <w:t>图</w:t>
            </w:r>
          </w:p>
        </w:tc>
      </w:tr>
      <w:tr w:rsidR="009D5901" w:rsidRPr="00884DC5" w:rsidTr="00CC08A6">
        <w:trPr>
          <w:jc w:val="center"/>
        </w:trPr>
        <w:tc>
          <w:tcPr>
            <w:tcW w:w="7365" w:type="dxa"/>
          </w:tcPr>
          <w:p w:rsidR="009D5901" w:rsidRPr="00884DC5" w:rsidRDefault="00FB5217" w:rsidP="00E16663">
            <w:pPr>
              <w:ind w:firstLineChars="0" w:firstLine="0"/>
              <w:jc w:val="center"/>
            </w:pPr>
            <w:r>
              <w:rPr>
                <w:noProof/>
              </w:rPr>
              <w:drawing>
                <wp:inline distT="0" distB="0" distL="0" distR="0">
                  <wp:extent cx="4533900" cy="2676525"/>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533900" cy="2676525"/>
                          </a:xfrm>
                          <a:prstGeom prst="rect">
                            <a:avLst/>
                          </a:prstGeom>
                          <a:noFill/>
                          <a:ln w="9525">
                            <a:noFill/>
                            <a:miter lim="800000"/>
                            <a:headEnd/>
                            <a:tailEnd/>
                          </a:ln>
                        </pic:spPr>
                      </pic:pic>
                    </a:graphicData>
                  </a:graphic>
                </wp:inline>
              </w:drawing>
            </w:r>
          </w:p>
        </w:tc>
      </w:tr>
      <w:tr w:rsidR="009D5901" w:rsidRPr="00884DC5" w:rsidTr="00CC08A6">
        <w:trPr>
          <w:trHeight w:val="227"/>
          <w:jc w:val="center"/>
        </w:trPr>
        <w:tc>
          <w:tcPr>
            <w:tcW w:w="7365" w:type="dxa"/>
          </w:tcPr>
          <w:p w:rsidR="009D5901" w:rsidRPr="00B46DCF" w:rsidRDefault="009D5901" w:rsidP="00B46DCF">
            <w:pPr>
              <w:pStyle w:val="ad"/>
              <w:ind w:firstLineChars="0" w:firstLine="0"/>
              <w:rPr>
                <w:b/>
                <w:sz w:val="15"/>
                <w:szCs w:val="15"/>
              </w:rPr>
            </w:pPr>
            <w:r w:rsidRPr="00B46DCF">
              <w:rPr>
                <w:rFonts w:ascii="华文细黑" w:hAnsi="华文细黑" w:hint="eastAsia"/>
                <w:b/>
                <w:sz w:val="15"/>
                <w:szCs w:val="15"/>
              </w:rPr>
              <w:t>数据来源：</w:t>
            </w:r>
            <w:r w:rsidR="00B86DA9" w:rsidRPr="00B46DCF">
              <w:rPr>
                <w:rFonts w:ascii="华文细黑" w:hAnsi="华文细黑" w:hint="eastAsia"/>
                <w:b/>
                <w:sz w:val="15"/>
                <w:szCs w:val="15"/>
              </w:rPr>
              <w:t>文华财经</w:t>
            </w:r>
            <w:r w:rsidR="009F5F5C" w:rsidRPr="00B46DCF">
              <w:rPr>
                <w:rFonts w:ascii="华文细黑" w:hAnsi="华文细黑" w:hint="eastAsia"/>
                <w:b/>
                <w:sz w:val="15"/>
                <w:szCs w:val="15"/>
              </w:rPr>
              <w:t>，兴</w:t>
            </w:r>
            <w:r w:rsidRPr="00B46DCF">
              <w:rPr>
                <w:rFonts w:ascii="华文细黑" w:hAnsi="华文细黑" w:hint="eastAsia"/>
                <w:b/>
                <w:sz w:val="15"/>
                <w:szCs w:val="15"/>
              </w:rPr>
              <w:t>证期货研发部</w:t>
            </w:r>
          </w:p>
        </w:tc>
      </w:tr>
    </w:tbl>
    <w:p w:rsidR="00DC49DF" w:rsidRPr="00370546" w:rsidRDefault="009020C5" w:rsidP="00387346">
      <w:pPr>
        <w:ind w:firstLine="440"/>
        <w:rPr>
          <w:szCs w:val="22"/>
        </w:rPr>
      </w:pPr>
      <w:r w:rsidRPr="00370546">
        <w:rPr>
          <w:rFonts w:hint="eastAsia"/>
          <w:szCs w:val="22"/>
        </w:rPr>
        <w:t>上周</w:t>
      </w:r>
      <w:r w:rsidR="00E00A42" w:rsidRPr="00370546">
        <w:rPr>
          <w:rFonts w:hint="eastAsia"/>
          <w:szCs w:val="22"/>
        </w:rPr>
        <w:t>国际原油期货价格</w:t>
      </w:r>
      <w:r w:rsidR="00FB5217" w:rsidRPr="00370546">
        <w:rPr>
          <w:rFonts w:hint="eastAsia"/>
          <w:szCs w:val="22"/>
        </w:rPr>
        <w:t>先抑后扬</w:t>
      </w:r>
      <w:r w:rsidR="00E00A42" w:rsidRPr="00370546">
        <w:rPr>
          <w:rFonts w:hint="eastAsia"/>
          <w:szCs w:val="22"/>
        </w:rPr>
        <w:t>。</w:t>
      </w:r>
      <w:r w:rsidR="00E00A42" w:rsidRPr="00370546">
        <w:rPr>
          <w:rFonts w:hint="eastAsia"/>
          <w:szCs w:val="22"/>
        </w:rPr>
        <w:t>WTI</w:t>
      </w:r>
      <w:r w:rsidR="00E00A42" w:rsidRPr="00370546">
        <w:rPr>
          <w:rFonts w:hint="eastAsia"/>
          <w:szCs w:val="22"/>
        </w:rPr>
        <w:t>原油期货主力合约周跌</w:t>
      </w:r>
      <w:r w:rsidR="00FB5217" w:rsidRPr="00370546">
        <w:rPr>
          <w:rFonts w:hint="eastAsia"/>
          <w:szCs w:val="22"/>
        </w:rPr>
        <w:t>0.06</w:t>
      </w:r>
      <w:r w:rsidR="00E00A42" w:rsidRPr="00370546">
        <w:rPr>
          <w:rFonts w:hint="eastAsia"/>
          <w:szCs w:val="22"/>
        </w:rPr>
        <w:t>美元，跌幅</w:t>
      </w:r>
      <w:r w:rsidR="00FB5217" w:rsidRPr="00370546">
        <w:rPr>
          <w:rFonts w:hint="eastAsia"/>
          <w:szCs w:val="22"/>
        </w:rPr>
        <w:t>0.12</w:t>
      </w:r>
      <w:r w:rsidR="00E00A42" w:rsidRPr="00370546">
        <w:rPr>
          <w:rFonts w:hint="eastAsia"/>
          <w:szCs w:val="22"/>
        </w:rPr>
        <w:t>%</w:t>
      </w:r>
      <w:r w:rsidR="00E00A42" w:rsidRPr="00370546">
        <w:rPr>
          <w:rFonts w:hint="eastAsia"/>
          <w:szCs w:val="22"/>
        </w:rPr>
        <w:t>，收于</w:t>
      </w:r>
      <w:r w:rsidR="00FB5217" w:rsidRPr="00370546">
        <w:rPr>
          <w:rFonts w:hint="eastAsia"/>
          <w:szCs w:val="22"/>
        </w:rPr>
        <w:t>48.73</w:t>
      </w:r>
      <w:r w:rsidR="00E00A42" w:rsidRPr="00370546">
        <w:rPr>
          <w:rFonts w:hint="eastAsia"/>
          <w:szCs w:val="22"/>
        </w:rPr>
        <w:t>美元</w:t>
      </w:r>
      <w:r w:rsidR="00E00A42" w:rsidRPr="00370546">
        <w:rPr>
          <w:rFonts w:hint="eastAsia"/>
          <w:szCs w:val="22"/>
        </w:rPr>
        <w:t>/</w:t>
      </w:r>
      <w:r w:rsidR="00A35990" w:rsidRPr="00370546">
        <w:rPr>
          <w:rFonts w:hint="eastAsia"/>
          <w:szCs w:val="22"/>
        </w:rPr>
        <w:t>桶</w:t>
      </w:r>
      <w:r w:rsidR="00E00A42" w:rsidRPr="00370546">
        <w:rPr>
          <w:rFonts w:hint="eastAsia"/>
          <w:szCs w:val="22"/>
        </w:rPr>
        <w:t>。</w:t>
      </w:r>
      <w:r w:rsidR="00D27F27" w:rsidRPr="00370546">
        <w:rPr>
          <w:rFonts w:hint="eastAsia"/>
          <w:szCs w:val="22"/>
        </w:rPr>
        <w:t>布伦特原油期货主力合约周</w:t>
      </w:r>
      <w:r w:rsidR="00FB5217" w:rsidRPr="00370546">
        <w:rPr>
          <w:rFonts w:hint="eastAsia"/>
          <w:szCs w:val="22"/>
        </w:rPr>
        <w:t>涨</w:t>
      </w:r>
      <w:r w:rsidR="00FB5217" w:rsidRPr="00370546">
        <w:rPr>
          <w:rFonts w:hint="eastAsia"/>
          <w:szCs w:val="22"/>
        </w:rPr>
        <w:t>0.81</w:t>
      </w:r>
      <w:r w:rsidR="00D27F27" w:rsidRPr="00370546">
        <w:rPr>
          <w:rFonts w:hint="eastAsia"/>
          <w:szCs w:val="22"/>
        </w:rPr>
        <w:t>美元</w:t>
      </w:r>
      <w:r w:rsidR="00FB5217" w:rsidRPr="00370546">
        <w:rPr>
          <w:rFonts w:hint="eastAsia"/>
          <w:szCs w:val="22"/>
        </w:rPr>
        <w:t>，涨</w:t>
      </w:r>
      <w:r w:rsidR="00D27F27" w:rsidRPr="00370546">
        <w:rPr>
          <w:rFonts w:hint="eastAsia"/>
          <w:szCs w:val="22"/>
        </w:rPr>
        <w:t>幅</w:t>
      </w:r>
      <w:r w:rsidR="00FB5217" w:rsidRPr="00370546">
        <w:rPr>
          <w:rFonts w:hint="eastAsia"/>
          <w:szCs w:val="22"/>
        </w:rPr>
        <w:t>1.56</w:t>
      </w:r>
      <w:r w:rsidR="00D27F27" w:rsidRPr="00370546">
        <w:rPr>
          <w:rFonts w:hint="eastAsia"/>
          <w:szCs w:val="22"/>
        </w:rPr>
        <w:t>%</w:t>
      </w:r>
      <w:r w:rsidR="00D27F27" w:rsidRPr="00370546">
        <w:rPr>
          <w:rFonts w:hint="eastAsia"/>
          <w:szCs w:val="22"/>
        </w:rPr>
        <w:t>，收于</w:t>
      </w:r>
      <w:r w:rsidR="00FB5217" w:rsidRPr="00370546">
        <w:rPr>
          <w:rFonts w:hint="eastAsia"/>
          <w:szCs w:val="22"/>
        </w:rPr>
        <w:t>52.86</w:t>
      </w:r>
      <w:r w:rsidR="00D27F27" w:rsidRPr="00370546">
        <w:rPr>
          <w:rFonts w:hint="eastAsia"/>
          <w:szCs w:val="22"/>
        </w:rPr>
        <w:t>美元</w:t>
      </w:r>
      <w:r w:rsidR="00D27F27" w:rsidRPr="00370546">
        <w:rPr>
          <w:rFonts w:hint="eastAsia"/>
          <w:szCs w:val="22"/>
        </w:rPr>
        <w:t>/</w:t>
      </w:r>
      <w:r w:rsidR="00387346" w:rsidRPr="00370546">
        <w:rPr>
          <w:rFonts w:hint="eastAsia"/>
          <w:szCs w:val="22"/>
        </w:rPr>
        <w:t>桶</w:t>
      </w:r>
      <w:r w:rsidR="007E4D9B" w:rsidRPr="00370546">
        <w:rPr>
          <w:rFonts w:hint="eastAsia"/>
          <w:szCs w:val="22"/>
        </w:rPr>
        <w:t>。</w:t>
      </w:r>
    </w:p>
    <w:p w:rsidR="00387346" w:rsidRPr="00370546" w:rsidRDefault="00242513" w:rsidP="00387346">
      <w:pPr>
        <w:ind w:firstLine="440"/>
        <w:rPr>
          <w:szCs w:val="22"/>
        </w:rPr>
      </w:pPr>
      <w:r w:rsidRPr="00370546">
        <w:rPr>
          <w:rFonts w:hint="eastAsia"/>
          <w:szCs w:val="22"/>
        </w:rPr>
        <w:t>上周一至周四，油价还是呈现</w:t>
      </w:r>
      <w:r w:rsidR="00370546" w:rsidRPr="00370546">
        <w:rPr>
          <w:rFonts w:hint="eastAsia"/>
          <w:szCs w:val="22"/>
        </w:rPr>
        <w:t>下跌格局，但是周五大幅上扬</w:t>
      </w:r>
      <w:r w:rsidR="00370546" w:rsidRPr="00370546">
        <w:rPr>
          <w:rFonts w:hint="eastAsia"/>
          <w:szCs w:val="22"/>
        </w:rPr>
        <w:t>3%</w:t>
      </w:r>
      <w:r w:rsidR="00370546" w:rsidRPr="00370546">
        <w:rPr>
          <w:rFonts w:hint="eastAsia"/>
          <w:szCs w:val="22"/>
        </w:rPr>
        <w:t>以上</w:t>
      </w:r>
      <w:r w:rsidR="00370546">
        <w:rPr>
          <w:rFonts w:hint="eastAsia"/>
          <w:szCs w:val="22"/>
        </w:rPr>
        <w:t>。</w:t>
      </w:r>
      <w:r w:rsidR="00370546" w:rsidRPr="00370546">
        <w:rPr>
          <w:rFonts w:hint="eastAsia"/>
          <w:szCs w:val="22"/>
        </w:rPr>
        <w:t>因路透社援引知情人士的消息报道，埃克森美孚位于德克萨斯州的贝城炼油厂的一个部门已被关闭。根据美国能源情报署的数据，这个炼油厂是美国第二大炼油厂，日产量</w:t>
      </w:r>
      <w:r w:rsidR="00370546" w:rsidRPr="00370546">
        <w:rPr>
          <w:szCs w:val="22"/>
        </w:rPr>
        <w:t>56.05</w:t>
      </w:r>
      <w:r w:rsidR="00370546" w:rsidRPr="00370546">
        <w:rPr>
          <w:rFonts w:hint="eastAsia"/>
          <w:szCs w:val="22"/>
        </w:rPr>
        <w:t>万桶</w:t>
      </w:r>
      <w:r w:rsidR="00370546" w:rsidRPr="00370546">
        <w:rPr>
          <w:szCs w:val="22"/>
        </w:rPr>
        <w:t>。</w:t>
      </w:r>
      <w:r w:rsidR="00370546" w:rsidRPr="00370546">
        <w:rPr>
          <w:rFonts w:hint="eastAsia"/>
          <w:szCs w:val="22"/>
        </w:rPr>
        <w:t>这座炼油厂的停产可能会缓解市场对供应过剩的担忧。</w:t>
      </w:r>
    </w:p>
    <w:tbl>
      <w:tblPr>
        <w:tblStyle w:val="a7"/>
        <w:tblW w:w="7365" w:type="dxa"/>
        <w:jc w:val="center"/>
        <w:tblBorders>
          <w:top w:val="none" w:sz="0" w:space="0" w:color="auto"/>
          <w:left w:val="none" w:sz="0" w:space="0" w:color="auto"/>
          <w:bottom w:val="none" w:sz="0" w:space="0" w:color="auto"/>
          <w:right w:val="none" w:sz="0" w:space="0" w:color="auto"/>
          <w:insideH w:val="single" w:sz="4" w:space="0" w:color="010281"/>
          <w:insideV w:val="single" w:sz="4" w:space="0" w:color="4F81BD" w:themeColor="accent1"/>
        </w:tblBorders>
        <w:tblLayout w:type="fixed"/>
        <w:tblLook w:val="01E0"/>
      </w:tblPr>
      <w:tblGrid>
        <w:gridCol w:w="7365"/>
      </w:tblGrid>
      <w:tr w:rsidR="0058611B" w:rsidRPr="00884DC5" w:rsidTr="00097206">
        <w:trPr>
          <w:trHeight w:val="227"/>
          <w:jc w:val="center"/>
        </w:trPr>
        <w:tc>
          <w:tcPr>
            <w:tcW w:w="7365" w:type="dxa"/>
          </w:tcPr>
          <w:p w:rsidR="0058611B" w:rsidRPr="00884DC5" w:rsidRDefault="0058611B" w:rsidP="00370546">
            <w:pPr>
              <w:pStyle w:val="ac"/>
              <w:ind w:firstLineChars="0" w:firstLine="0"/>
            </w:pPr>
            <w:r w:rsidRPr="00884DC5">
              <w:rPr>
                <w:rFonts w:ascii="宋体" w:eastAsia="宋体" w:hAnsi="宋体" w:cs="宋体" w:hint="eastAsia"/>
              </w:rPr>
              <w:t>图</w:t>
            </w:r>
            <w:r>
              <w:rPr>
                <w:rFonts w:ascii="宋体" w:eastAsia="宋体" w:hAnsi="宋体" w:cs="宋体" w:hint="eastAsia"/>
              </w:rPr>
              <w:t>2:</w:t>
            </w:r>
            <w:r w:rsidR="00370546">
              <w:rPr>
                <w:rFonts w:ascii="宋体" w:eastAsia="宋体" w:hAnsi="宋体" w:cs="宋体" w:hint="eastAsia"/>
              </w:rPr>
              <w:t>OPEC最新的原油产量数据</w:t>
            </w:r>
          </w:p>
        </w:tc>
      </w:tr>
      <w:tr w:rsidR="0058611B" w:rsidRPr="00884DC5" w:rsidTr="00097206">
        <w:trPr>
          <w:jc w:val="center"/>
        </w:trPr>
        <w:tc>
          <w:tcPr>
            <w:tcW w:w="7365" w:type="dxa"/>
          </w:tcPr>
          <w:p w:rsidR="0058611B" w:rsidRPr="00884DC5" w:rsidRDefault="00370546" w:rsidP="00097206">
            <w:pPr>
              <w:ind w:firstLineChars="0" w:firstLine="0"/>
              <w:jc w:val="center"/>
            </w:pPr>
            <w:r>
              <w:rPr>
                <w:noProof/>
              </w:rPr>
              <w:lastRenderedPageBreak/>
              <w:drawing>
                <wp:inline distT="0" distB="0" distL="0" distR="0">
                  <wp:extent cx="4533900" cy="2867025"/>
                  <wp:effectExtent l="19050" t="0" r="0" b="0"/>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4533900" cy="2867025"/>
                          </a:xfrm>
                          <a:prstGeom prst="rect">
                            <a:avLst/>
                          </a:prstGeom>
                          <a:noFill/>
                          <a:ln w="9525">
                            <a:noFill/>
                            <a:miter lim="800000"/>
                            <a:headEnd/>
                            <a:tailEnd/>
                          </a:ln>
                        </pic:spPr>
                      </pic:pic>
                    </a:graphicData>
                  </a:graphic>
                </wp:inline>
              </w:drawing>
            </w:r>
          </w:p>
        </w:tc>
      </w:tr>
      <w:tr w:rsidR="0058611B" w:rsidRPr="00884DC5" w:rsidTr="00097206">
        <w:trPr>
          <w:trHeight w:val="227"/>
          <w:jc w:val="center"/>
        </w:trPr>
        <w:tc>
          <w:tcPr>
            <w:tcW w:w="7365" w:type="dxa"/>
          </w:tcPr>
          <w:p w:rsidR="0058611B" w:rsidRPr="00B46DCF" w:rsidRDefault="0058611B" w:rsidP="00257EB6">
            <w:pPr>
              <w:pStyle w:val="ad"/>
              <w:ind w:firstLineChars="0" w:firstLine="0"/>
              <w:rPr>
                <w:b/>
                <w:sz w:val="15"/>
                <w:szCs w:val="15"/>
              </w:rPr>
            </w:pPr>
            <w:r w:rsidRPr="00CA21F4">
              <w:rPr>
                <w:rFonts w:ascii="宋体" w:eastAsia="宋体" w:hAnsi="宋体" w:cs="宋体" w:hint="eastAsia"/>
                <w:b/>
                <w:sz w:val="15"/>
                <w:szCs w:val="15"/>
              </w:rPr>
              <w:t>数据来源：</w:t>
            </w:r>
            <w:r w:rsidR="00257EB6">
              <w:rPr>
                <w:rFonts w:ascii="宋体" w:eastAsia="宋体" w:hAnsi="宋体" w:cs="宋体" w:hint="eastAsia"/>
                <w:b/>
                <w:sz w:val="15"/>
                <w:szCs w:val="15"/>
              </w:rPr>
              <w:t>OPEC</w:t>
            </w:r>
            <w:r w:rsidRPr="00CA21F4">
              <w:rPr>
                <w:rFonts w:ascii="宋体" w:eastAsia="宋体" w:hAnsi="宋体" w:cs="宋体" w:hint="eastAsia"/>
                <w:b/>
                <w:sz w:val="15"/>
                <w:szCs w:val="15"/>
              </w:rPr>
              <w:t>，兴证期货研发部</w:t>
            </w:r>
          </w:p>
        </w:tc>
      </w:tr>
    </w:tbl>
    <w:p w:rsidR="00257EB6" w:rsidRDefault="00370546" w:rsidP="00CA21F4">
      <w:pPr>
        <w:ind w:firstLine="440"/>
        <w:rPr>
          <w:rFonts w:hint="eastAsia"/>
          <w:szCs w:val="22"/>
        </w:rPr>
      </w:pPr>
      <w:r>
        <w:rPr>
          <w:rFonts w:hint="eastAsia"/>
          <w:szCs w:val="22"/>
        </w:rPr>
        <w:t>OPEC</w:t>
      </w:r>
      <w:r w:rsidR="00257EB6">
        <w:rPr>
          <w:rFonts w:hint="eastAsia"/>
          <w:szCs w:val="22"/>
        </w:rPr>
        <w:t>7</w:t>
      </w:r>
      <w:r w:rsidR="00257EB6" w:rsidRPr="00257EB6">
        <w:rPr>
          <w:rFonts w:hint="eastAsia"/>
          <w:szCs w:val="22"/>
        </w:rPr>
        <w:t>月份的原油产量为</w:t>
      </w:r>
      <w:r w:rsidR="00257EB6" w:rsidRPr="00257EB6">
        <w:rPr>
          <w:rFonts w:hint="eastAsia"/>
          <w:szCs w:val="22"/>
        </w:rPr>
        <w:t>3286.9</w:t>
      </w:r>
      <w:r w:rsidR="00257EB6" w:rsidRPr="00257EB6">
        <w:rPr>
          <w:rFonts w:hint="eastAsia"/>
          <w:szCs w:val="22"/>
        </w:rPr>
        <w:t>万桶</w:t>
      </w:r>
      <w:r w:rsidR="00257EB6" w:rsidRPr="00257EB6">
        <w:rPr>
          <w:rFonts w:hint="eastAsia"/>
          <w:szCs w:val="22"/>
        </w:rPr>
        <w:t>/</w:t>
      </w:r>
      <w:r w:rsidR="00257EB6" w:rsidRPr="00257EB6">
        <w:rPr>
          <w:rFonts w:hint="eastAsia"/>
          <w:szCs w:val="22"/>
        </w:rPr>
        <w:t>天，较</w:t>
      </w:r>
      <w:r w:rsidR="00257EB6" w:rsidRPr="00257EB6">
        <w:rPr>
          <w:rFonts w:hint="eastAsia"/>
          <w:szCs w:val="22"/>
        </w:rPr>
        <w:t>6</w:t>
      </w:r>
      <w:r w:rsidR="00257EB6" w:rsidRPr="00257EB6">
        <w:rPr>
          <w:rFonts w:hint="eastAsia"/>
          <w:szCs w:val="22"/>
        </w:rPr>
        <w:t>月份增加了</w:t>
      </w:r>
      <w:r w:rsidR="00257EB6" w:rsidRPr="00257EB6">
        <w:rPr>
          <w:rFonts w:hint="eastAsia"/>
          <w:szCs w:val="22"/>
        </w:rPr>
        <w:t>17.3</w:t>
      </w:r>
      <w:r w:rsidR="00257EB6" w:rsidRPr="00257EB6">
        <w:rPr>
          <w:rFonts w:hint="eastAsia"/>
          <w:szCs w:val="22"/>
        </w:rPr>
        <w:t>万桶</w:t>
      </w:r>
      <w:r w:rsidR="00257EB6" w:rsidRPr="00257EB6">
        <w:rPr>
          <w:rFonts w:hint="eastAsia"/>
          <w:szCs w:val="22"/>
        </w:rPr>
        <w:t>/</w:t>
      </w:r>
      <w:r w:rsidR="00257EB6" w:rsidRPr="00257EB6">
        <w:rPr>
          <w:rFonts w:hint="eastAsia"/>
          <w:szCs w:val="22"/>
        </w:rPr>
        <w:t>天，增幅</w:t>
      </w:r>
      <w:r w:rsidR="00257EB6" w:rsidRPr="00257EB6">
        <w:rPr>
          <w:rFonts w:hint="eastAsia"/>
          <w:szCs w:val="22"/>
        </w:rPr>
        <w:t>0.5%</w:t>
      </w:r>
      <w:r w:rsidR="00257EB6" w:rsidRPr="00257EB6">
        <w:rPr>
          <w:rFonts w:hint="eastAsia"/>
          <w:szCs w:val="22"/>
        </w:rPr>
        <w:t>。从今年</w:t>
      </w:r>
      <w:r w:rsidR="00257EB6" w:rsidRPr="00257EB6">
        <w:rPr>
          <w:rFonts w:hint="eastAsia"/>
          <w:szCs w:val="22"/>
        </w:rPr>
        <w:t>3</w:t>
      </w:r>
      <w:r w:rsidR="00257EB6" w:rsidRPr="00257EB6">
        <w:rPr>
          <w:rFonts w:hint="eastAsia"/>
          <w:szCs w:val="22"/>
        </w:rPr>
        <w:t>月份最低点算起，已经连续</w:t>
      </w:r>
      <w:r w:rsidR="00257EB6" w:rsidRPr="00257EB6">
        <w:rPr>
          <w:rFonts w:hint="eastAsia"/>
          <w:szCs w:val="22"/>
        </w:rPr>
        <w:t>4</w:t>
      </w:r>
      <w:r w:rsidR="00257EB6" w:rsidRPr="00257EB6">
        <w:rPr>
          <w:rFonts w:hint="eastAsia"/>
          <w:szCs w:val="22"/>
        </w:rPr>
        <w:t>个月出现增长，并且也已经连续两个月维持在</w:t>
      </w:r>
      <w:r w:rsidR="00257EB6" w:rsidRPr="00257EB6">
        <w:rPr>
          <w:rFonts w:hint="eastAsia"/>
          <w:szCs w:val="22"/>
        </w:rPr>
        <w:t>3250</w:t>
      </w:r>
      <w:r w:rsidR="00257EB6" w:rsidRPr="00257EB6">
        <w:rPr>
          <w:rFonts w:hint="eastAsia"/>
          <w:szCs w:val="22"/>
        </w:rPr>
        <w:t>万桶</w:t>
      </w:r>
      <w:r w:rsidR="00257EB6" w:rsidRPr="00257EB6">
        <w:rPr>
          <w:rFonts w:hint="eastAsia"/>
          <w:szCs w:val="22"/>
        </w:rPr>
        <w:t>/</w:t>
      </w:r>
      <w:r w:rsidR="00257EB6" w:rsidRPr="00257EB6">
        <w:rPr>
          <w:rFonts w:hint="eastAsia"/>
          <w:szCs w:val="22"/>
        </w:rPr>
        <w:t>天的协议上方</w:t>
      </w:r>
      <w:r w:rsidR="000B2823" w:rsidRPr="000B2823">
        <w:rPr>
          <w:rFonts w:hint="eastAsia"/>
          <w:szCs w:val="22"/>
        </w:rPr>
        <w:t>。</w:t>
      </w:r>
    </w:p>
    <w:p w:rsidR="000B3E4C" w:rsidRDefault="00257EB6" w:rsidP="0096233E">
      <w:pPr>
        <w:ind w:firstLine="440"/>
        <w:rPr>
          <w:rFonts w:hint="eastAsia"/>
          <w:szCs w:val="22"/>
        </w:rPr>
      </w:pPr>
      <w:r>
        <w:rPr>
          <w:rFonts w:hint="eastAsia"/>
          <w:szCs w:val="22"/>
        </w:rPr>
        <w:t>细究来看，三个豁免</w:t>
      </w:r>
      <w:r w:rsidRPr="00E26792">
        <w:rPr>
          <w:rFonts w:hint="eastAsia"/>
          <w:szCs w:val="22"/>
        </w:rPr>
        <w:t>国</w:t>
      </w:r>
      <w:r w:rsidRPr="00E26792">
        <w:rPr>
          <w:rFonts w:hint="eastAsia"/>
          <w:szCs w:val="22"/>
        </w:rPr>
        <w:t>---</w:t>
      </w:r>
      <w:r w:rsidRPr="00E26792">
        <w:rPr>
          <w:rFonts w:hint="eastAsia"/>
          <w:szCs w:val="22"/>
        </w:rPr>
        <w:t>伊朗、尼日利亚、利比亚是</w:t>
      </w:r>
      <w:r w:rsidR="0096233E">
        <w:rPr>
          <w:rFonts w:hint="eastAsia"/>
          <w:szCs w:val="22"/>
        </w:rPr>
        <w:t>罪魁祸首</w:t>
      </w:r>
      <w:r w:rsidR="000B3E4C" w:rsidRPr="000B3E4C">
        <w:rPr>
          <w:rFonts w:hint="eastAsia"/>
          <w:szCs w:val="22"/>
        </w:rPr>
        <w:t>。</w:t>
      </w:r>
    </w:p>
    <w:p w:rsidR="0096233E" w:rsidRPr="00E26792" w:rsidRDefault="0096233E" w:rsidP="00E26792">
      <w:pPr>
        <w:ind w:firstLine="440"/>
        <w:rPr>
          <w:rFonts w:hint="eastAsia"/>
          <w:szCs w:val="22"/>
        </w:rPr>
      </w:pPr>
      <w:r w:rsidRPr="00E26792">
        <w:rPr>
          <w:rFonts w:hint="eastAsia"/>
          <w:szCs w:val="22"/>
        </w:rPr>
        <w:t>因受到西方国家制裁，伊朗原油产量一度大幅下降，而自制裁解除后的</w:t>
      </w:r>
      <w:r w:rsidRPr="00E26792">
        <w:rPr>
          <w:rFonts w:hint="eastAsia"/>
          <w:szCs w:val="22"/>
        </w:rPr>
        <w:t>2016</w:t>
      </w:r>
      <w:r w:rsidRPr="00E26792">
        <w:rPr>
          <w:rFonts w:hint="eastAsia"/>
          <w:szCs w:val="22"/>
        </w:rPr>
        <w:t>年起，其就一直在提高产量，以补偿被包括沙特和伊拉克在内的地区竞争对手抢走的市场份额。目前</w:t>
      </w:r>
      <w:r>
        <w:rPr>
          <w:rFonts w:hint="eastAsia"/>
          <w:szCs w:val="22"/>
        </w:rPr>
        <w:t>伊朗的原油产量为</w:t>
      </w:r>
      <w:r>
        <w:rPr>
          <w:rFonts w:hint="eastAsia"/>
          <w:szCs w:val="22"/>
        </w:rPr>
        <w:t>382.4</w:t>
      </w:r>
      <w:r>
        <w:rPr>
          <w:rFonts w:hint="eastAsia"/>
          <w:szCs w:val="22"/>
        </w:rPr>
        <w:t>万桶</w:t>
      </w:r>
      <w:r>
        <w:rPr>
          <w:rFonts w:hint="eastAsia"/>
          <w:szCs w:val="22"/>
        </w:rPr>
        <w:t>/</w:t>
      </w:r>
      <w:r w:rsidRPr="00E26792">
        <w:rPr>
          <w:rFonts w:hint="eastAsia"/>
          <w:szCs w:val="22"/>
        </w:rPr>
        <w:t>天，较</w:t>
      </w:r>
      <w:r w:rsidRPr="00E26792">
        <w:rPr>
          <w:rFonts w:hint="eastAsia"/>
          <w:szCs w:val="22"/>
        </w:rPr>
        <w:t>2016</w:t>
      </w:r>
      <w:r w:rsidRPr="00E26792">
        <w:rPr>
          <w:rFonts w:hint="eastAsia"/>
          <w:szCs w:val="22"/>
        </w:rPr>
        <w:t>年初提高了</w:t>
      </w:r>
      <w:r w:rsidRPr="00E26792">
        <w:rPr>
          <w:rFonts w:hint="eastAsia"/>
          <w:szCs w:val="22"/>
        </w:rPr>
        <w:t>30%</w:t>
      </w:r>
      <w:r w:rsidRPr="00E26792">
        <w:rPr>
          <w:rFonts w:hint="eastAsia"/>
          <w:szCs w:val="22"/>
        </w:rPr>
        <w:t>。</w:t>
      </w:r>
    </w:p>
    <w:p w:rsidR="0096233E" w:rsidRPr="00E26792" w:rsidRDefault="0096233E" w:rsidP="0096233E">
      <w:pPr>
        <w:ind w:firstLine="440"/>
        <w:rPr>
          <w:rFonts w:hint="eastAsia"/>
          <w:szCs w:val="22"/>
        </w:rPr>
      </w:pPr>
      <w:r w:rsidRPr="00E26792">
        <w:rPr>
          <w:rFonts w:hint="eastAsia"/>
          <w:szCs w:val="22"/>
        </w:rPr>
        <w:t>另外因战争频发，尼日利亚也是豁免国之一。</w:t>
      </w:r>
      <w:r w:rsidR="00E26792" w:rsidRPr="00E26792">
        <w:rPr>
          <w:rFonts w:hint="eastAsia"/>
          <w:szCs w:val="22"/>
        </w:rPr>
        <w:t>其</w:t>
      </w:r>
      <w:r w:rsidR="00E26792" w:rsidRPr="00E26792">
        <w:rPr>
          <w:rFonts w:hint="eastAsia"/>
          <w:szCs w:val="22"/>
        </w:rPr>
        <w:t>7</w:t>
      </w:r>
      <w:r w:rsidR="00E26792" w:rsidRPr="00E26792">
        <w:rPr>
          <w:rFonts w:hint="eastAsia"/>
          <w:szCs w:val="22"/>
        </w:rPr>
        <w:t>月份的原油产量达到了</w:t>
      </w:r>
      <w:r w:rsidR="00E26792" w:rsidRPr="00E26792">
        <w:rPr>
          <w:rFonts w:hint="eastAsia"/>
          <w:szCs w:val="22"/>
        </w:rPr>
        <w:t>174.8</w:t>
      </w:r>
      <w:r w:rsidR="00E26792" w:rsidRPr="00E26792">
        <w:rPr>
          <w:rFonts w:hint="eastAsia"/>
          <w:szCs w:val="22"/>
        </w:rPr>
        <w:t>万桶</w:t>
      </w:r>
      <w:r w:rsidR="00E26792" w:rsidRPr="00E26792">
        <w:rPr>
          <w:rFonts w:hint="eastAsia"/>
          <w:szCs w:val="22"/>
        </w:rPr>
        <w:t>/</w:t>
      </w:r>
      <w:r w:rsidR="00E26792" w:rsidRPr="00E26792">
        <w:rPr>
          <w:rFonts w:hint="eastAsia"/>
          <w:szCs w:val="22"/>
        </w:rPr>
        <w:t>天，环比上升</w:t>
      </w:r>
      <w:r w:rsidR="00E26792" w:rsidRPr="00E26792">
        <w:rPr>
          <w:rFonts w:hint="eastAsia"/>
          <w:szCs w:val="22"/>
        </w:rPr>
        <w:t>2%</w:t>
      </w:r>
      <w:r w:rsidR="00E26792" w:rsidRPr="00E26792">
        <w:rPr>
          <w:rFonts w:hint="eastAsia"/>
          <w:szCs w:val="22"/>
        </w:rPr>
        <w:t>，同比上升</w:t>
      </w:r>
      <w:r w:rsidR="00E26792" w:rsidRPr="00E26792">
        <w:rPr>
          <w:rFonts w:hint="eastAsia"/>
          <w:szCs w:val="22"/>
        </w:rPr>
        <w:t>21%</w:t>
      </w:r>
      <w:r w:rsidR="00E26792" w:rsidRPr="00E26792">
        <w:rPr>
          <w:rFonts w:hint="eastAsia"/>
          <w:szCs w:val="22"/>
        </w:rPr>
        <w:t>。</w:t>
      </w:r>
    </w:p>
    <w:p w:rsidR="00E26792" w:rsidRDefault="00E26792" w:rsidP="0096233E">
      <w:pPr>
        <w:ind w:firstLine="440"/>
        <w:rPr>
          <w:rFonts w:hint="eastAsia"/>
          <w:szCs w:val="22"/>
        </w:rPr>
      </w:pPr>
      <w:r w:rsidRPr="00E26792">
        <w:rPr>
          <w:rFonts w:hint="eastAsia"/>
          <w:szCs w:val="22"/>
        </w:rPr>
        <w:t>同样利比亚也是坐收“渔翁之利”，其</w:t>
      </w:r>
      <w:r w:rsidRPr="00E26792">
        <w:rPr>
          <w:rFonts w:hint="eastAsia"/>
          <w:szCs w:val="22"/>
        </w:rPr>
        <w:t>7</w:t>
      </w:r>
      <w:r w:rsidRPr="00E26792">
        <w:rPr>
          <w:rFonts w:hint="eastAsia"/>
          <w:szCs w:val="22"/>
        </w:rPr>
        <w:t>月份原油产量超过了</w:t>
      </w:r>
      <w:r w:rsidRPr="00E26792">
        <w:rPr>
          <w:rFonts w:hint="eastAsia"/>
          <w:szCs w:val="22"/>
        </w:rPr>
        <w:t>100</w:t>
      </w:r>
      <w:r w:rsidRPr="00E26792">
        <w:rPr>
          <w:rFonts w:hint="eastAsia"/>
          <w:szCs w:val="22"/>
        </w:rPr>
        <w:t>万桶</w:t>
      </w:r>
      <w:r w:rsidRPr="00E26792">
        <w:rPr>
          <w:rFonts w:hint="eastAsia"/>
          <w:szCs w:val="22"/>
        </w:rPr>
        <w:t>/</w:t>
      </w:r>
      <w:r w:rsidRPr="00E26792">
        <w:rPr>
          <w:rFonts w:hint="eastAsia"/>
          <w:szCs w:val="22"/>
        </w:rPr>
        <w:t>天，环比上升</w:t>
      </w:r>
      <w:r w:rsidRPr="00E26792">
        <w:rPr>
          <w:rFonts w:hint="eastAsia"/>
          <w:szCs w:val="22"/>
        </w:rPr>
        <w:t>18%</w:t>
      </w:r>
      <w:r w:rsidRPr="00E26792">
        <w:rPr>
          <w:rFonts w:hint="eastAsia"/>
          <w:szCs w:val="22"/>
        </w:rPr>
        <w:t>，同比上升</w:t>
      </w:r>
      <w:r w:rsidRPr="00E26792">
        <w:rPr>
          <w:rFonts w:hint="eastAsia"/>
          <w:szCs w:val="22"/>
        </w:rPr>
        <w:t>230%</w:t>
      </w:r>
      <w:r w:rsidRPr="00E26792">
        <w:rPr>
          <w:rFonts w:hint="eastAsia"/>
          <w:szCs w:val="22"/>
        </w:rPr>
        <w:t>。</w:t>
      </w:r>
    </w:p>
    <w:p w:rsidR="00E26792" w:rsidRPr="00E26792" w:rsidRDefault="00E26792" w:rsidP="0096233E">
      <w:pPr>
        <w:ind w:firstLine="440"/>
        <w:rPr>
          <w:rFonts w:ascii="宋体" w:eastAsia="宋体" w:hAnsi="宋体" w:cs="宋体"/>
          <w:szCs w:val="22"/>
        </w:rPr>
      </w:pPr>
      <w:r>
        <w:rPr>
          <w:rFonts w:hint="eastAsia"/>
          <w:szCs w:val="22"/>
        </w:rPr>
        <w:t>所以，目前因部分豁免国</w:t>
      </w:r>
      <w:r>
        <w:rPr>
          <w:rFonts w:ascii="宋体" w:eastAsia="宋体" w:hAnsi="宋体" w:cs="宋体" w:hint="eastAsia"/>
          <w:szCs w:val="22"/>
        </w:rPr>
        <w:t>的影响，导致了OPEC整体的限产效果不佳。</w:t>
      </w:r>
    </w:p>
    <w:tbl>
      <w:tblPr>
        <w:tblStyle w:val="a7"/>
        <w:tblW w:w="7365" w:type="dxa"/>
        <w:jc w:val="center"/>
        <w:tblBorders>
          <w:top w:val="none" w:sz="0" w:space="0" w:color="auto"/>
          <w:left w:val="none" w:sz="0" w:space="0" w:color="auto"/>
          <w:bottom w:val="none" w:sz="0" w:space="0" w:color="auto"/>
          <w:right w:val="none" w:sz="0" w:space="0" w:color="auto"/>
          <w:insideH w:val="single" w:sz="4" w:space="0" w:color="010281"/>
          <w:insideV w:val="single" w:sz="4" w:space="0" w:color="4F81BD" w:themeColor="accent1"/>
        </w:tblBorders>
        <w:tblLayout w:type="fixed"/>
        <w:tblLook w:val="01E0"/>
      </w:tblPr>
      <w:tblGrid>
        <w:gridCol w:w="7365"/>
      </w:tblGrid>
      <w:tr w:rsidR="00EF6D6C" w:rsidRPr="00884DC5" w:rsidTr="008A5D09">
        <w:trPr>
          <w:trHeight w:val="227"/>
          <w:jc w:val="center"/>
        </w:trPr>
        <w:tc>
          <w:tcPr>
            <w:tcW w:w="7365" w:type="dxa"/>
          </w:tcPr>
          <w:p w:rsidR="00EF6D6C" w:rsidRPr="00884DC5" w:rsidRDefault="00EF6D6C" w:rsidP="002A764B">
            <w:pPr>
              <w:pStyle w:val="ac"/>
              <w:ind w:firstLineChars="0" w:firstLine="0"/>
            </w:pPr>
            <w:r w:rsidRPr="00A513A3">
              <w:rPr>
                <w:rFonts w:ascii="宋体" w:eastAsia="宋体" w:hAnsi="宋体" w:cs="宋体" w:hint="eastAsia"/>
              </w:rPr>
              <w:t>图</w:t>
            </w:r>
            <w:r w:rsidR="00AA508D">
              <w:rPr>
                <w:rFonts w:ascii="宋体" w:eastAsia="宋体" w:hAnsi="宋体" w:cs="宋体" w:hint="eastAsia"/>
              </w:rPr>
              <w:t>3</w:t>
            </w:r>
            <w:r w:rsidRPr="00A513A3">
              <w:rPr>
                <w:rFonts w:ascii="宋体" w:eastAsia="宋体" w:hAnsi="宋体" w:cs="宋体" w:hint="eastAsia"/>
              </w:rPr>
              <w:t>：</w:t>
            </w:r>
            <w:r w:rsidR="002A764B">
              <w:rPr>
                <w:rFonts w:ascii="宋体" w:eastAsia="宋体" w:hAnsi="宋体" w:cs="宋体" w:hint="eastAsia"/>
              </w:rPr>
              <w:t>美国</w:t>
            </w:r>
            <w:r w:rsidR="00CA21F4">
              <w:rPr>
                <w:rFonts w:ascii="宋体" w:eastAsia="宋体" w:hAnsi="宋体" w:cs="宋体" w:hint="eastAsia"/>
              </w:rPr>
              <w:t>原油</w:t>
            </w:r>
            <w:r w:rsidR="002A764B">
              <w:rPr>
                <w:rFonts w:ascii="宋体" w:eastAsia="宋体" w:hAnsi="宋体" w:cs="宋体" w:hint="eastAsia"/>
              </w:rPr>
              <w:t>产量变化</w:t>
            </w:r>
          </w:p>
        </w:tc>
      </w:tr>
      <w:tr w:rsidR="00EF6D6C" w:rsidRPr="00884DC5" w:rsidTr="008A5D09">
        <w:trPr>
          <w:jc w:val="center"/>
        </w:trPr>
        <w:tc>
          <w:tcPr>
            <w:tcW w:w="7365" w:type="dxa"/>
          </w:tcPr>
          <w:p w:rsidR="00EF6D6C" w:rsidRPr="00884DC5" w:rsidRDefault="00E26792" w:rsidP="008A5D09">
            <w:pPr>
              <w:ind w:firstLineChars="0" w:firstLine="0"/>
              <w:jc w:val="center"/>
            </w:pPr>
            <w:r>
              <w:rPr>
                <w:noProof/>
              </w:rPr>
              <w:lastRenderedPageBreak/>
              <w:drawing>
                <wp:inline distT="0" distB="0" distL="0" distR="0">
                  <wp:extent cx="4533900" cy="2667000"/>
                  <wp:effectExtent l="19050" t="0" r="0" b="0"/>
                  <wp:docPr id="8"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srcRect/>
                          <a:stretch>
                            <a:fillRect/>
                          </a:stretch>
                        </pic:blipFill>
                        <pic:spPr bwMode="auto">
                          <a:xfrm>
                            <a:off x="0" y="0"/>
                            <a:ext cx="4533900" cy="2667000"/>
                          </a:xfrm>
                          <a:prstGeom prst="rect">
                            <a:avLst/>
                          </a:prstGeom>
                          <a:noFill/>
                          <a:ln w="9525">
                            <a:noFill/>
                            <a:miter lim="800000"/>
                            <a:headEnd/>
                            <a:tailEnd/>
                          </a:ln>
                        </pic:spPr>
                      </pic:pic>
                    </a:graphicData>
                  </a:graphic>
                </wp:inline>
              </w:drawing>
            </w:r>
          </w:p>
        </w:tc>
      </w:tr>
      <w:tr w:rsidR="00EF6D6C" w:rsidRPr="00884DC5" w:rsidTr="008A5D09">
        <w:trPr>
          <w:trHeight w:val="227"/>
          <w:jc w:val="center"/>
        </w:trPr>
        <w:tc>
          <w:tcPr>
            <w:tcW w:w="7365" w:type="dxa"/>
          </w:tcPr>
          <w:p w:rsidR="00EF6D6C" w:rsidRPr="00236C4D" w:rsidRDefault="00EF6D6C" w:rsidP="002A764B">
            <w:pPr>
              <w:pStyle w:val="ad"/>
              <w:ind w:firstLineChars="0" w:firstLine="0"/>
              <w:rPr>
                <w:b/>
                <w:sz w:val="15"/>
                <w:szCs w:val="15"/>
              </w:rPr>
            </w:pPr>
            <w:r w:rsidRPr="00236C4D">
              <w:rPr>
                <w:rFonts w:ascii="宋体" w:eastAsia="宋体" w:hAnsi="宋体" w:cs="宋体" w:hint="eastAsia"/>
                <w:b/>
                <w:sz w:val="15"/>
                <w:szCs w:val="15"/>
              </w:rPr>
              <w:t>数据来源：</w:t>
            </w:r>
            <w:r w:rsidR="002A764B">
              <w:rPr>
                <w:rFonts w:ascii="华文细黑" w:hAnsi="华文细黑" w:hint="eastAsia"/>
                <w:b/>
                <w:sz w:val="15"/>
                <w:szCs w:val="15"/>
              </w:rPr>
              <w:t>EIA</w:t>
            </w:r>
            <w:r w:rsidRPr="00236C4D">
              <w:rPr>
                <w:rFonts w:ascii="宋体" w:eastAsia="宋体" w:hAnsi="宋体" w:cs="宋体" w:hint="eastAsia"/>
                <w:b/>
                <w:sz w:val="15"/>
                <w:szCs w:val="15"/>
              </w:rPr>
              <w:t>，兴证期货研发部</w:t>
            </w:r>
          </w:p>
        </w:tc>
      </w:tr>
    </w:tbl>
    <w:p w:rsidR="000B2823" w:rsidRPr="00C21984" w:rsidRDefault="00C21984" w:rsidP="00E26792">
      <w:pPr>
        <w:ind w:firstLine="440"/>
        <w:rPr>
          <w:rFonts w:hint="eastAsia"/>
          <w:szCs w:val="22"/>
        </w:rPr>
      </w:pPr>
      <w:r w:rsidRPr="00C21984">
        <w:rPr>
          <w:rFonts w:hint="eastAsia"/>
          <w:szCs w:val="22"/>
        </w:rPr>
        <w:t>除了</w:t>
      </w:r>
      <w:r w:rsidRPr="00C21984">
        <w:rPr>
          <w:rFonts w:hint="eastAsia"/>
          <w:szCs w:val="22"/>
        </w:rPr>
        <w:t>OPEC</w:t>
      </w:r>
      <w:r w:rsidRPr="00C21984">
        <w:rPr>
          <w:rFonts w:hint="eastAsia"/>
          <w:szCs w:val="22"/>
        </w:rPr>
        <w:t>以外，美国的原油产量也同样在继续增加，据</w:t>
      </w:r>
      <w:r w:rsidR="00E26792" w:rsidRPr="00C21984">
        <w:rPr>
          <w:rFonts w:hint="eastAsia"/>
          <w:szCs w:val="22"/>
        </w:rPr>
        <w:t>EIA</w:t>
      </w:r>
      <w:r w:rsidR="00E26792" w:rsidRPr="00C21984">
        <w:rPr>
          <w:rFonts w:hint="eastAsia"/>
          <w:szCs w:val="22"/>
        </w:rPr>
        <w:t>最新的数据显示，上周美国原油产量增加了</w:t>
      </w:r>
      <w:r w:rsidR="00E26792" w:rsidRPr="00C21984">
        <w:rPr>
          <w:rFonts w:hint="eastAsia"/>
          <w:szCs w:val="22"/>
        </w:rPr>
        <w:t>7.9</w:t>
      </w:r>
      <w:r w:rsidR="00E26792" w:rsidRPr="00C21984">
        <w:rPr>
          <w:rFonts w:hint="eastAsia"/>
          <w:szCs w:val="22"/>
        </w:rPr>
        <w:t>万桶至</w:t>
      </w:r>
      <w:r w:rsidR="00E26792" w:rsidRPr="00C21984">
        <w:rPr>
          <w:rFonts w:hint="eastAsia"/>
          <w:szCs w:val="22"/>
        </w:rPr>
        <w:t>950</w:t>
      </w:r>
      <w:r w:rsidR="00E26792" w:rsidRPr="00C21984">
        <w:rPr>
          <w:rFonts w:hint="eastAsia"/>
          <w:szCs w:val="22"/>
        </w:rPr>
        <w:t>万桶</w:t>
      </w:r>
      <w:r w:rsidR="00E26792" w:rsidRPr="00C21984">
        <w:rPr>
          <w:rFonts w:hint="eastAsia"/>
          <w:szCs w:val="22"/>
        </w:rPr>
        <w:t>/</w:t>
      </w:r>
      <w:r w:rsidR="00E26792" w:rsidRPr="00C21984">
        <w:rPr>
          <w:rFonts w:hint="eastAsia"/>
          <w:szCs w:val="22"/>
        </w:rPr>
        <w:t>天，达到了自</w:t>
      </w:r>
      <w:r w:rsidR="00E26792" w:rsidRPr="00C21984">
        <w:rPr>
          <w:rFonts w:hint="eastAsia"/>
          <w:szCs w:val="22"/>
        </w:rPr>
        <w:t>2015</w:t>
      </w:r>
      <w:r w:rsidR="00E26792" w:rsidRPr="00C21984">
        <w:rPr>
          <w:rFonts w:hint="eastAsia"/>
          <w:szCs w:val="22"/>
        </w:rPr>
        <w:t>年</w:t>
      </w:r>
      <w:r w:rsidR="00E26792" w:rsidRPr="00C21984">
        <w:rPr>
          <w:rFonts w:hint="eastAsia"/>
          <w:szCs w:val="22"/>
        </w:rPr>
        <w:t>7</w:t>
      </w:r>
      <w:r w:rsidR="00E26792" w:rsidRPr="00C21984">
        <w:rPr>
          <w:rFonts w:hint="eastAsia"/>
          <w:szCs w:val="22"/>
        </w:rPr>
        <w:t>月以来的最高产量。</w:t>
      </w:r>
      <w:r w:rsidRPr="00C21984">
        <w:rPr>
          <w:szCs w:val="22"/>
        </w:rPr>
        <w:t>EIA</w:t>
      </w:r>
      <w:r w:rsidRPr="00C21984">
        <w:rPr>
          <w:rFonts w:hint="eastAsia"/>
          <w:szCs w:val="22"/>
        </w:rPr>
        <w:t>预计明年美国原油产量将增加</w:t>
      </w:r>
      <w:r w:rsidRPr="00C21984">
        <w:rPr>
          <w:szCs w:val="22"/>
        </w:rPr>
        <w:t>60</w:t>
      </w:r>
      <w:r w:rsidRPr="00C21984">
        <w:rPr>
          <w:rFonts w:hint="eastAsia"/>
          <w:szCs w:val="22"/>
        </w:rPr>
        <w:t>万桶／天，达到</w:t>
      </w:r>
      <w:r w:rsidRPr="00C21984">
        <w:rPr>
          <w:szCs w:val="22"/>
        </w:rPr>
        <w:t>990</w:t>
      </w:r>
      <w:r w:rsidRPr="00C21984">
        <w:rPr>
          <w:rFonts w:hint="eastAsia"/>
          <w:szCs w:val="22"/>
        </w:rPr>
        <w:t>万桶／天，超越</w:t>
      </w:r>
      <w:r w:rsidRPr="00C21984">
        <w:rPr>
          <w:szCs w:val="22"/>
        </w:rPr>
        <w:t>1970</w:t>
      </w:r>
      <w:r w:rsidRPr="00C21984">
        <w:rPr>
          <w:rFonts w:hint="eastAsia"/>
          <w:szCs w:val="22"/>
        </w:rPr>
        <w:t>年</w:t>
      </w:r>
      <w:r w:rsidRPr="00C21984">
        <w:rPr>
          <w:szCs w:val="22"/>
        </w:rPr>
        <w:t>960</w:t>
      </w:r>
      <w:r w:rsidRPr="00C21984">
        <w:rPr>
          <w:rFonts w:hint="eastAsia"/>
          <w:szCs w:val="22"/>
        </w:rPr>
        <w:t>万桶／天的纪录</w:t>
      </w:r>
      <w:r w:rsidRPr="00C21984">
        <w:rPr>
          <w:szCs w:val="22"/>
        </w:rPr>
        <w:t>。</w:t>
      </w:r>
    </w:p>
    <w:p w:rsidR="00C21984" w:rsidRPr="00C21984" w:rsidRDefault="00C21984" w:rsidP="00C21984">
      <w:pPr>
        <w:ind w:firstLine="440"/>
        <w:rPr>
          <w:szCs w:val="22"/>
        </w:rPr>
      </w:pPr>
      <w:r w:rsidRPr="00C21984">
        <w:rPr>
          <w:szCs w:val="22"/>
        </w:rPr>
        <w:t>美国页岩油主产区</w:t>
      </w:r>
      <w:r w:rsidRPr="00C21984">
        <w:rPr>
          <w:szCs w:val="22"/>
        </w:rPr>
        <w:t>Permian</w:t>
      </w:r>
      <w:r w:rsidRPr="00C21984">
        <w:rPr>
          <w:szCs w:val="22"/>
        </w:rPr>
        <w:t>和</w:t>
      </w:r>
      <w:r w:rsidRPr="00C21984">
        <w:rPr>
          <w:szCs w:val="22"/>
        </w:rPr>
        <w:t>Eagle Ford</w:t>
      </w:r>
      <w:r w:rsidRPr="00C21984">
        <w:rPr>
          <w:szCs w:val="22"/>
        </w:rPr>
        <w:t>，预计将是大部分增长来源。其中</w:t>
      </w:r>
      <w:r w:rsidRPr="00C21984">
        <w:rPr>
          <w:szCs w:val="22"/>
        </w:rPr>
        <w:t>Permian</w:t>
      </w:r>
      <w:r w:rsidRPr="00C21984">
        <w:rPr>
          <w:szCs w:val="22"/>
        </w:rPr>
        <w:t>地区产量预计到明年年底将达到</w:t>
      </w:r>
      <w:r w:rsidRPr="00C21984">
        <w:rPr>
          <w:szCs w:val="22"/>
        </w:rPr>
        <w:t>290</w:t>
      </w:r>
      <w:r w:rsidRPr="00C21984">
        <w:rPr>
          <w:szCs w:val="22"/>
        </w:rPr>
        <w:t>万桶／天，比</w:t>
      </w:r>
      <w:r w:rsidRPr="00C21984">
        <w:rPr>
          <w:rFonts w:hint="eastAsia"/>
          <w:szCs w:val="22"/>
        </w:rPr>
        <w:t>今年</w:t>
      </w:r>
      <w:r w:rsidRPr="00C21984">
        <w:rPr>
          <w:szCs w:val="22"/>
        </w:rPr>
        <w:t>6</w:t>
      </w:r>
      <w:r w:rsidRPr="00C21984">
        <w:rPr>
          <w:szCs w:val="22"/>
        </w:rPr>
        <w:t>月水平增长约</w:t>
      </w:r>
      <w:r w:rsidRPr="00C21984">
        <w:rPr>
          <w:szCs w:val="22"/>
        </w:rPr>
        <w:t>50</w:t>
      </w:r>
      <w:r w:rsidRPr="00C21984">
        <w:rPr>
          <w:szCs w:val="22"/>
        </w:rPr>
        <w:t>万桶／天。这意味着未来</w:t>
      </w:r>
      <w:r w:rsidRPr="00C21984">
        <w:rPr>
          <w:szCs w:val="22"/>
        </w:rPr>
        <w:t>Permian</w:t>
      </w:r>
      <w:r w:rsidRPr="00C21984">
        <w:rPr>
          <w:szCs w:val="22"/>
        </w:rPr>
        <w:t>地区产量将占到美国总产量的</w:t>
      </w:r>
      <w:r w:rsidRPr="00C21984">
        <w:rPr>
          <w:szCs w:val="22"/>
        </w:rPr>
        <w:t>30%</w:t>
      </w:r>
      <w:r w:rsidRPr="00C21984">
        <w:rPr>
          <w:szCs w:val="22"/>
        </w:rPr>
        <w:t>。</w:t>
      </w:r>
    </w:p>
    <w:p w:rsidR="00C21984" w:rsidRPr="00C21984" w:rsidRDefault="00C21984" w:rsidP="00C21984">
      <w:pPr>
        <w:ind w:firstLine="440"/>
        <w:rPr>
          <w:szCs w:val="22"/>
        </w:rPr>
      </w:pPr>
      <w:r w:rsidRPr="00C21984">
        <w:rPr>
          <w:szCs w:val="22"/>
        </w:rPr>
        <w:t>据油服公司</w:t>
      </w:r>
      <w:r w:rsidRPr="00C21984">
        <w:rPr>
          <w:szCs w:val="22"/>
        </w:rPr>
        <w:t>Baker Hughes</w:t>
      </w:r>
      <w:r w:rsidRPr="00C21984">
        <w:rPr>
          <w:szCs w:val="22"/>
        </w:rPr>
        <w:t>，截至</w:t>
      </w:r>
      <w:r w:rsidRPr="00C21984">
        <w:rPr>
          <w:szCs w:val="22"/>
        </w:rPr>
        <w:t>8</w:t>
      </w:r>
      <w:r w:rsidRPr="00C21984">
        <w:rPr>
          <w:szCs w:val="22"/>
        </w:rPr>
        <w:t>月中旬，全美</w:t>
      </w:r>
      <w:r w:rsidRPr="00C21984">
        <w:rPr>
          <w:szCs w:val="22"/>
        </w:rPr>
        <w:t>928</w:t>
      </w:r>
      <w:r w:rsidRPr="00C21984">
        <w:rPr>
          <w:szCs w:val="22"/>
        </w:rPr>
        <w:t>座开工页岩油钻井有</w:t>
      </w:r>
      <w:r w:rsidRPr="00C21984">
        <w:rPr>
          <w:szCs w:val="22"/>
        </w:rPr>
        <w:t>377</w:t>
      </w:r>
      <w:r w:rsidRPr="00C21984">
        <w:rPr>
          <w:szCs w:val="22"/>
        </w:rPr>
        <w:t>座位于</w:t>
      </w:r>
      <w:r w:rsidRPr="00C21984">
        <w:rPr>
          <w:szCs w:val="22"/>
        </w:rPr>
        <w:t>Permian</w:t>
      </w:r>
      <w:r w:rsidRPr="00C21984">
        <w:rPr>
          <w:szCs w:val="22"/>
        </w:rPr>
        <w:t>地区，相比一年之前翻了一倍。</w:t>
      </w:r>
    </w:p>
    <w:p w:rsidR="00C21984" w:rsidRPr="00C21984" w:rsidRDefault="00C21984" w:rsidP="00C21984">
      <w:pPr>
        <w:ind w:firstLine="440"/>
        <w:rPr>
          <w:szCs w:val="22"/>
        </w:rPr>
      </w:pPr>
      <w:r w:rsidRPr="00C21984">
        <w:rPr>
          <w:rFonts w:hint="eastAsia"/>
          <w:szCs w:val="22"/>
        </w:rPr>
        <w:t>今年和明年</w:t>
      </w:r>
      <w:r w:rsidRPr="00C21984">
        <w:rPr>
          <w:szCs w:val="22"/>
        </w:rPr>
        <w:t>Eagle Ford</w:t>
      </w:r>
      <w:r w:rsidRPr="00C21984">
        <w:rPr>
          <w:szCs w:val="22"/>
        </w:rPr>
        <w:t>产量预计平均为</w:t>
      </w:r>
      <w:r w:rsidRPr="00C21984">
        <w:rPr>
          <w:szCs w:val="22"/>
        </w:rPr>
        <w:t>130</w:t>
      </w:r>
      <w:r w:rsidRPr="00C21984">
        <w:rPr>
          <w:szCs w:val="22"/>
        </w:rPr>
        <w:t>万桶／天，相比</w:t>
      </w:r>
      <w:r w:rsidRPr="00C21984">
        <w:rPr>
          <w:szCs w:val="22"/>
        </w:rPr>
        <w:t>2016</w:t>
      </w:r>
      <w:r w:rsidRPr="00C21984">
        <w:rPr>
          <w:szCs w:val="22"/>
        </w:rPr>
        <w:t>年四季度增长</w:t>
      </w:r>
      <w:r w:rsidRPr="00C21984">
        <w:rPr>
          <w:szCs w:val="22"/>
        </w:rPr>
        <w:t>10</w:t>
      </w:r>
      <w:r w:rsidRPr="00C21984">
        <w:rPr>
          <w:szCs w:val="22"/>
        </w:rPr>
        <w:t>万桶／天。</w:t>
      </w:r>
    </w:p>
    <w:p w:rsidR="00C21984" w:rsidRPr="001D3321" w:rsidRDefault="00C21984" w:rsidP="00C21984">
      <w:pPr>
        <w:ind w:firstLine="440"/>
        <w:rPr>
          <w:szCs w:val="22"/>
        </w:rPr>
      </w:pPr>
      <w:r w:rsidRPr="00C21984">
        <w:rPr>
          <w:szCs w:val="22"/>
        </w:rPr>
        <w:t>EIA</w:t>
      </w:r>
      <w:r w:rsidRPr="00C21984">
        <w:rPr>
          <w:szCs w:val="22"/>
        </w:rPr>
        <w:t>认为，由于</w:t>
      </w:r>
      <w:r w:rsidRPr="00C21984">
        <w:rPr>
          <w:szCs w:val="22"/>
        </w:rPr>
        <w:t>Eagle Ford</w:t>
      </w:r>
      <w:r w:rsidRPr="00C21984">
        <w:rPr>
          <w:szCs w:val="22"/>
        </w:rPr>
        <w:t>盈亏平衡价格高于</w:t>
      </w:r>
      <w:r w:rsidRPr="00C21984">
        <w:rPr>
          <w:szCs w:val="22"/>
        </w:rPr>
        <w:t>Permian</w:t>
      </w:r>
      <w:r w:rsidRPr="00C21984">
        <w:rPr>
          <w:szCs w:val="22"/>
        </w:rPr>
        <w:t>，前者更容易受油价波动影响。如果油价持续低于</w:t>
      </w:r>
      <w:r w:rsidRPr="00C21984">
        <w:rPr>
          <w:szCs w:val="22"/>
        </w:rPr>
        <w:t>50</w:t>
      </w:r>
      <w:r w:rsidRPr="00C21984">
        <w:rPr>
          <w:szCs w:val="22"/>
        </w:rPr>
        <w:t>美元／桶，那么将对</w:t>
      </w:r>
      <w:r w:rsidRPr="00C21984">
        <w:rPr>
          <w:szCs w:val="22"/>
        </w:rPr>
        <w:t>Eagle Ford</w:t>
      </w:r>
      <w:r w:rsidRPr="00C21984">
        <w:rPr>
          <w:szCs w:val="22"/>
        </w:rPr>
        <w:t>产出造成</w:t>
      </w:r>
      <w:r w:rsidRPr="00C21984">
        <w:rPr>
          <w:szCs w:val="22"/>
        </w:rPr>
        <w:lastRenderedPageBreak/>
        <w:t>严重冲击。</w:t>
      </w:r>
    </w:p>
    <w:tbl>
      <w:tblPr>
        <w:tblStyle w:val="a7"/>
        <w:tblW w:w="7365" w:type="dxa"/>
        <w:jc w:val="center"/>
        <w:tblBorders>
          <w:top w:val="none" w:sz="0" w:space="0" w:color="auto"/>
          <w:left w:val="none" w:sz="0" w:space="0" w:color="auto"/>
          <w:bottom w:val="none" w:sz="0" w:space="0" w:color="auto"/>
          <w:right w:val="none" w:sz="0" w:space="0" w:color="auto"/>
          <w:insideH w:val="single" w:sz="4" w:space="0" w:color="010281"/>
          <w:insideV w:val="single" w:sz="4" w:space="0" w:color="4F81BD" w:themeColor="accent1"/>
        </w:tblBorders>
        <w:tblLayout w:type="fixed"/>
        <w:tblLook w:val="01E0"/>
      </w:tblPr>
      <w:tblGrid>
        <w:gridCol w:w="7365"/>
      </w:tblGrid>
      <w:tr w:rsidR="0003514A" w:rsidRPr="00884DC5" w:rsidTr="00822E0A">
        <w:trPr>
          <w:trHeight w:val="227"/>
          <w:jc w:val="center"/>
        </w:trPr>
        <w:tc>
          <w:tcPr>
            <w:tcW w:w="7365" w:type="dxa"/>
          </w:tcPr>
          <w:p w:rsidR="0003514A" w:rsidRPr="00884DC5" w:rsidRDefault="0003514A" w:rsidP="00C21984">
            <w:pPr>
              <w:pStyle w:val="ac"/>
              <w:ind w:firstLineChars="0" w:firstLine="0"/>
            </w:pPr>
            <w:r w:rsidRPr="00A513A3">
              <w:rPr>
                <w:rFonts w:ascii="宋体" w:eastAsia="宋体" w:hAnsi="宋体" w:cs="宋体" w:hint="eastAsia"/>
              </w:rPr>
              <w:t>图</w:t>
            </w:r>
            <w:r w:rsidR="00C04B70">
              <w:rPr>
                <w:rFonts w:ascii="宋体" w:eastAsia="宋体" w:hAnsi="宋体" w:cs="宋体" w:hint="eastAsia"/>
              </w:rPr>
              <w:t>4</w:t>
            </w:r>
            <w:r w:rsidRPr="00A513A3">
              <w:rPr>
                <w:rFonts w:ascii="宋体" w:eastAsia="宋体" w:hAnsi="宋体" w:cs="宋体" w:hint="eastAsia"/>
              </w:rPr>
              <w:t>：</w:t>
            </w:r>
            <w:r w:rsidR="00C21984">
              <w:rPr>
                <w:rFonts w:ascii="宋体" w:eastAsia="宋体" w:hAnsi="宋体" w:cs="宋体" w:hint="eastAsia"/>
              </w:rPr>
              <w:t>美国原油库存变化</w:t>
            </w:r>
          </w:p>
        </w:tc>
      </w:tr>
      <w:tr w:rsidR="0003514A" w:rsidRPr="00884DC5" w:rsidTr="00822E0A">
        <w:trPr>
          <w:jc w:val="center"/>
        </w:trPr>
        <w:tc>
          <w:tcPr>
            <w:tcW w:w="7365" w:type="dxa"/>
          </w:tcPr>
          <w:p w:rsidR="0003514A" w:rsidRPr="00CA21F4" w:rsidRDefault="00C21984" w:rsidP="00CA21F4">
            <w:pPr>
              <w:widowControl/>
              <w:ind w:firstLineChars="0" w:firstLine="0"/>
              <w:jc w:val="left"/>
              <w:rPr>
                <w:rFonts w:ascii="宋体" w:eastAsia="宋体" w:hAnsi="宋体" w:cs="宋体"/>
                <w:kern w:val="0"/>
                <w:sz w:val="24"/>
              </w:rPr>
            </w:pPr>
            <w:r>
              <w:rPr>
                <w:rFonts w:ascii="宋体" w:eastAsia="宋体" w:hAnsi="宋体" w:cs="宋体"/>
                <w:noProof/>
                <w:kern w:val="0"/>
                <w:sz w:val="24"/>
              </w:rPr>
              <w:drawing>
                <wp:inline distT="0" distB="0" distL="0" distR="0">
                  <wp:extent cx="4533900" cy="2686050"/>
                  <wp:effectExtent l="19050" t="0" r="0" b="0"/>
                  <wp:docPr id="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srcRect/>
                          <a:stretch>
                            <a:fillRect/>
                          </a:stretch>
                        </pic:blipFill>
                        <pic:spPr bwMode="auto">
                          <a:xfrm>
                            <a:off x="0" y="0"/>
                            <a:ext cx="4533900" cy="2686050"/>
                          </a:xfrm>
                          <a:prstGeom prst="rect">
                            <a:avLst/>
                          </a:prstGeom>
                          <a:noFill/>
                          <a:ln w="9525">
                            <a:noFill/>
                            <a:miter lim="800000"/>
                            <a:headEnd/>
                            <a:tailEnd/>
                          </a:ln>
                        </pic:spPr>
                      </pic:pic>
                    </a:graphicData>
                  </a:graphic>
                </wp:inline>
              </w:drawing>
            </w:r>
          </w:p>
        </w:tc>
      </w:tr>
      <w:tr w:rsidR="0003514A" w:rsidRPr="00884DC5" w:rsidTr="00822E0A">
        <w:trPr>
          <w:trHeight w:val="227"/>
          <w:jc w:val="center"/>
        </w:trPr>
        <w:tc>
          <w:tcPr>
            <w:tcW w:w="7365" w:type="dxa"/>
          </w:tcPr>
          <w:p w:rsidR="0003514A" w:rsidRPr="00236C4D" w:rsidRDefault="0003514A" w:rsidP="00822E0A">
            <w:pPr>
              <w:pStyle w:val="ad"/>
              <w:ind w:firstLineChars="0" w:firstLine="0"/>
              <w:rPr>
                <w:b/>
                <w:sz w:val="15"/>
                <w:szCs w:val="15"/>
              </w:rPr>
            </w:pPr>
            <w:r w:rsidRPr="00CA21F4">
              <w:rPr>
                <w:rFonts w:ascii="华文细黑" w:hAnsi="华文细黑" w:hint="eastAsia"/>
                <w:b/>
                <w:sz w:val="15"/>
                <w:szCs w:val="15"/>
              </w:rPr>
              <w:t>数据来源：</w:t>
            </w:r>
            <w:r w:rsidRPr="00CA21F4">
              <w:rPr>
                <w:rFonts w:ascii="华文细黑" w:hAnsi="华文细黑"/>
                <w:b/>
                <w:sz w:val="15"/>
                <w:szCs w:val="15"/>
              </w:rPr>
              <w:t>Wind</w:t>
            </w:r>
            <w:r w:rsidRPr="00CA21F4">
              <w:rPr>
                <w:rFonts w:ascii="华文细黑" w:hAnsi="华文细黑" w:hint="eastAsia"/>
                <w:b/>
                <w:sz w:val="15"/>
                <w:szCs w:val="15"/>
              </w:rPr>
              <w:t>，兴证期货研发部</w:t>
            </w:r>
          </w:p>
        </w:tc>
      </w:tr>
    </w:tbl>
    <w:p w:rsidR="00B46A8E" w:rsidRPr="00601557" w:rsidRDefault="00B46A8E" w:rsidP="00B46A8E">
      <w:pPr>
        <w:ind w:firstLine="440"/>
        <w:rPr>
          <w:szCs w:val="22"/>
        </w:rPr>
      </w:pPr>
      <w:r w:rsidRPr="00601557">
        <w:rPr>
          <w:rFonts w:hint="eastAsia"/>
          <w:szCs w:val="22"/>
        </w:rPr>
        <w:t>另外</w:t>
      </w:r>
      <w:r w:rsidR="00601557" w:rsidRPr="00601557">
        <w:rPr>
          <w:rFonts w:hint="eastAsia"/>
          <w:szCs w:val="22"/>
        </w:rPr>
        <w:t>EIA</w:t>
      </w:r>
      <w:r w:rsidR="00601557" w:rsidRPr="00601557">
        <w:rPr>
          <w:rFonts w:hint="eastAsia"/>
          <w:szCs w:val="22"/>
        </w:rPr>
        <w:t>数据显示，截至</w:t>
      </w:r>
      <w:r w:rsidR="00601557" w:rsidRPr="00601557">
        <w:rPr>
          <w:rFonts w:hint="eastAsia"/>
          <w:szCs w:val="22"/>
        </w:rPr>
        <w:t>8</w:t>
      </w:r>
      <w:r w:rsidR="00601557" w:rsidRPr="00601557">
        <w:rPr>
          <w:rFonts w:hint="eastAsia"/>
          <w:szCs w:val="22"/>
        </w:rPr>
        <w:t>月</w:t>
      </w:r>
      <w:r w:rsidR="00601557" w:rsidRPr="00601557">
        <w:rPr>
          <w:rFonts w:hint="eastAsia"/>
          <w:szCs w:val="22"/>
        </w:rPr>
        <w:t>11</w:t>
      </w:r>
      <w:r w:rsidR="00601557" w:rsidRPr="00601557">
        <w:rPr>
          <w:rFonts w:hint="eastAsia"/>
          <w:szCs w:val="22"/>
        </w:rPr>
        <w:t>日当周，美国原油库存大降</w:t>
      </w:r>
      <w:r w:rsidR="00601557" w:rsidRPr="00601557">
        <w:rPr>
          <w:rFonts w:hint="eastAsia"/>
          <w:szCs w:val="22"/>
        </w:rPr>
        <w:t>895</w:t>
      </w:r>
      <w:r w:rsidR="00601557" w:rsidRPr="00601557">
        <w:rPr>
          <w:rFonts w:hint="eastAsia"/>
          <w:szCs w:val="22"/>
        </w:rPr>
        <w:t>万桶，至</w:t>
      </w:r>
      <w:r w:rsidR="00601557" w:rsidRPr="00601557">
        <w:rPr>
          <w:rFonts w:hint="eastAsia"/>
          <w:szCs w:val="22"/>
        </w:rPr>
        <w:t>4.7</w:t>
      </w:r>
      <w:r w:rsidR="00601557" w:rsidRPr="00601557">
        <w:rPr>
          <w:rFonts w:hint="eastAsia"/>
          <w:szCs w:val="22"/>
        </w:rPr>
        <w:t>亿桶，为</w:t>
      </w:r>
      <w:r w:rsidR="00601557" w:rsidRPr="00601557">
        <w:rPr>
          <w:rFonts w:hint="eastAsia"/>
          <w:szCs w:val="22"/>
        </w:rPr>
        <w:t>2016</w:t>
      </w:r>
      <w:r w:rsidR="00601557" w:rsidRPr="00601557">
        <w:rPr>
          <w:rFonts w:hint="eastAsia"/>
          <w:szCs w:val="22"/>
        </w:rPr>
        <w:t>年</w:t>
      </w:r>
      <w:r w:rsidR="00601557" w:rsidRPr="00601557">
        <w:rPr>
          <w:rFonts w:hint="eastAsia"/>
          <w:szCs w:val="22"/>
        </w:rPr>
        <w:t>1</w:t>
      </w:r>
      <w:r w:rsidR="00601557" w:rsidRPr="00601557">
        <w:rPr>
          <w:rFonts w:hint="eastAsia"/>
          <w:szCs w:val="22"/>
        </w:rPr>
        <w:t>月来最低水平。若将战略原油库存计算在内，则达到</w:t>
      </w:r>
      <w:r w:rsidR="00601557" w:rsidRPr="00601557">
        <w:rPr>
          <w:rFonts w:hint="eastAsia"/>
          <w:szCs w:val="22"/>
        </w:rPr>
        <w:t>11.5</w:t>
      </w:r>
      <w:r w:rsidR="00601557" w:rsidRPr="00601557">
        <w:rPr>
          <w:rFonts w:hint="eastAsia"/>
          <w:szCs w:val="22"/>
        </w:rPr>
        <w:t>亿桶，为</w:t>
      </w:r>
      <w:r w:rsidR="00601557" w:rsidRPr="00601557">
        <w:rPr>
          <w:rFonts w:hint="eastAsia"/>
          <w:szCs w:val="22"/>
        </w:rPr>
        <w:t>2015</w:t>
      </w:r>
      <w:r w:rsidR="00601557" w:rsidRPr="00601557">
        <w:rPr>
          <w:rFonts w:hint="eastAsia"/>
          <w:szCs w:val="22"/>
        </w:rPr>
        <w:t>年</w:t>
      </w:r>
      <w:r w:rsidR="00601557" w:rsidRPr="00601557">
        <w:rPr>
          <w:rFonts w:hint="eastAsia"/>
          <w:szCs w:val="22"/>
        </w:rPr>
        <w:t>10</w:t>
      </w:r>
      <w:r w:rsidR="00601557" w:rsidRPr="00601557">
        <w:rPr>
          <w:rFonts w:hint="eastAsia"/>
          <w:szCs w:val="22"/>
        </w:rPr>
        <w:t>月来最低水平。不过汽油库存和精炼油库存双双录得增加。从历史数据来看，美国原油需求通常在夏季出行高峰时期表现强劲，而现在随着出行高峰临近结束，原油需求恐随着炼厂产能利用率的下降而减少。</w:t>
      </w:r>
    </w:p>
    <w:p w:rsidR="00A21B4F" w:rsidRDefault="00A21B4F" w:rsidP="0003514A">
      <w:pPr>
        <w:pStyle w:val="1"/>
        <w:tabs>
          <w:tab w:val="left" w:pos="4560"/>
        </w:tabs>
        <w:spacing w:before="326"/>
        <w:ind w:firstLineChars="0" w:firstLine="0"/>
      </w:pPr>
      <w:r>
        <w:rPr>
          <w:rFonts w:hint="eastAsia"/>
        </w:rPr>
        <w:t>后市展望与操作建议</w:t>
      </w:r>
    </w:p>
    <w:p w:rsidR="00AC6E96" w:rsidRPr="00843965" w:rsidRDefault="00601557" w:rsidP="00843965">
      <w:pPr>
        <w:ind w:firstLine="440"/>
        <w:rPr>
          <w:szCs w:val="22"/>
        </w:rPr>
      </w:pPr>
      <w:r w:rsidRPr="00601557">
        <w:rPr>
          <w:rFonts w:hint="eastAsia"/>
          <w:szCs w:val="22"/>
        </w:rPr>
        <w:t>总体来看，美国夏季出行高峰期即将结束，中国原油需求降低，以及美国国内页岩油产量增加的影响，原油市场利空因素仍然存在；而</w:t>
      </w:r>
      <w:r w:rsidRPr="00601557">
        <w:rPr>
          <w:rFonts w:hint="eastAsia"/>
          <w:szCs w:val="22"/>
        </w:rPr>
        <w:t>OPEC</w:t>
      </w:r>
      <w:r w:rsidRPr="00601557">
        <w:rPr>
          <w:rFonts w:hint="eastAsia"/>
          <w:szCs w:val="22"/>
        </w:rPr>
        <w:t>因部分豁免国增产的行为，使得自身限产执行情况不佳，令市场持续不安。</w:t>
      </w:r>
      <w:r>
        <w:rPr>
          <w:rFonts w:hint="eastAsia"/>
          <w:szCs w:val="22"/>
        </w:rPr>
        <w:t>目前的利好可能就是美国原油库存的持续下降，但是</w:t>
      </w:r>
      <w:r w:rsidR="00AF2338" w:rsidRPr="00AF2338">
        <w:rPr>
          <w:rFonts w:hint="eastAsia"/>
          <w:szCs w:val="22"/>
        </w:rPr>
        <w:t>也</w:t>
      </w:r>
      <w:r w:rsidR="00AF2338">
        <w:rPr>
          <w:rFonts w:hint="eastAsia"/>
          <w:szCs w:val="22"/>
        </w:rPr>
        <w:t>需要看到</w:t>
      </w:r>
      <w:r w:rsidR="00AF2338" w:rsidRPr="00AF2338">
        <w:rPr>
          <w:rFonts w:hint="eastAsia"/>
          <w:szCs w:val="22"/>
        </w:rPr>
        <w:t>接下来几周是否能持续下降，进而再来判断库存水平是否好转</w:t>
      </w:r>
      <w:r w:rsidR="00AC6E96" w:rsidRPr="00843965">
        <w:rPr>
          <w:rFonts w:hint="eastAsia"/>
          <w:szCs w:val="22"/>
        </w:rPr>
        <w:t>。</w:t>
      </w:r>
      <w:r w:rsidR="00AF2338">
        <w:rPr>
          <w:rFonts w:hint="eastAsia"/>
          <w:szCs w:val="22"/>
        </w:rPr>
        <w:t>短期仍是区间波动为主。</w:t>
      </w:r>
    </w:p>
    <w:p w:rsidR="00987C4C" w:rsidRPr="00782C07" w:rsidRDefault="00987C4C" w:rsidP="00D80B6C">
      <w:pPr>
        <w:ind w:firstLine="440"/>
        <w:rPr>
          <w:rFonts w:ascii="华文细黑" w:hAnsi="华文细黑"/>
          <w:szCs w:val="22"/>
        </w:rPr>
      </w:pPr>
    </w:p>
    <w:p w:rsidR="00A941EE" w:rsidRDefault="00A941EE" w:rsidP="00C27245">
      <w:pPr>
        <w:pStyle w:val="af0"/>
        <w:shd w:val="clear" w:color="auto" w:fill="FFFFFF"/>
        <w:spacing w:before="0" w:beforeAutospacing="0" w:after="0" w:afterAutospacing="0" w:line="360" w:lineRule="atLeast"/>
        <w:ind w:firstLineChars="200" w:firstLine="440"/>
        <w:jc w:val="both"/>
        <w:rPr>
          <w:rFonts w:ascii="华文细黑" w:eastAsia="华文细黑" w:hAnsi="华文细黑" w:cs="Times New Roman"/>
          <w:kern w:val="2"/>
          <w:sz w:val="22"/>
          <w:szCs w:val="22"/>
        </w:rPr>
      </w:pPr>
    </w:p>
    <w:p w:rsidR="00D657DA" w:rsidRPr="00EE778D" w:rsidRDefault="00D657DA" w:rsidP="00D657DA">
      <w:pPr>
        <w:ind w:firstLineChars="0" w:firstLine="0"/>
        <w:rPr>
          <w:rStyle w:val="ab"/>
          <w:color w:val="9DA4D3"/>
        </w:rPr>
      </w:pPr>
      <w:r w:rsidRPr="00EE778D">
        <w:rPr>
          <w:rStyle w:val="ab"/>
          <w:rFonts w:hint="eastAsia"/>
          <w:color w:val="9DA4D3"/>
        </w:rPr>
        <w:t>分析师承诺</w:t>
      </w:r>
    </w:p>
    <w:p w:rsidR="00D657DA" w:rsidRPr="003F468D" w:rsidRDefault="00D657DA" w:rsidP="003F468D">
      <w:pPr>
        <w:ind w:firstLine="440"/>
      </w:pPr>
      <w:r w:rsidRPr="003F468D">
        <w:rPr>
          <w:rFonts w:hint="eastAsia"/>
        </w:rPr>
        <w:t>本人以勤勉的职业态度，独立、客观地出具本报告。本报告清晰准确地反映了本人的研究观点。本人不曾因也将不会因本报告中的具体推荐意见或观点而直接或间接接收到任何形式的报酬。</w:t>
      </w:r>
    </w:p>
    <w:p w:rsidR="00CA4659" w:rsidRDefault="00CA4659" w:rsidP="00D657DA">
      <w:pPr>
        <w:ind w:firstLineChars="0" w:firstLine="0"/>
        <w:rPr>
          <w:rStyle w:val="ab"/>
        </w:rPr>
      </w:pPr>
    </w:p>
    <w:p w:rsidR="00D657DA" w:rsidRPr="00EE778D" w:rsidRDefault="00D657DA" w:rsidP="00D657DA">
      <w:pPr>
        <w:ind w:firstLineChars="0" w:firstLine="0"/>
        <w:rPr>
          <w:rStyle w:val="ab"/>
          <w:color w:val="9DA4D3"/>
        </w:rPr>
      </w:pPr>
      <w:r w:rsidRPr="00EE778D">
        <w:rPr>
          <w:rStyle w:val="ab"/>
          <w:rFonts w:hint="eastAsia"/>
          <w:color w:val="9DA4D3"/>
        </w:rPr>
        <w:t>免责声明</w:t>
      </w:r>
    </w:p>
    <w:p w:rsidR="00D657DA" w:rsidRPr="003F468D" w:rsidRDefault="00D657DA" w:rsidP="003F468D">
      <w:pPr>
        <w:ind w:firstLine="440"/>
      </w:pPr>
      <w:r w:rsidRPr="003F468D">
        <w:rPr>
          <w:rFonts w:hint="eastAsia"/>
        </w:rPr>
        <w:t>客户不应视本报告为作出投资决策的惟一因素。本报告中所指的投资及服务可能不适合个别客户，不构成客户私人咨询建议。本公司未确保本报告充分考虑到个别客户特殊的投资目标、财务状况或需要。本公司建议客户应考虑本报告的任何意见或建议是否符合其特定状况，以及（若有必要）咨询独立投资顾问。</w:t>
      </w:r>
    </w:p>
    <w:p w:rsidR="00884DC5" w:rsidRPr="003F468D" w:rsidRDefault="00D657DA" w:rsidP="008959E6">
      <w:pPr>
        <w:ind w:firstLine="440"/>
      </w:pPr>
      <w:r w:rsidRPr="003F468D">
        <w:rPr>
          <w:rFonts w:hint="eastAsia"/>
        </w:rPr>
        <w:t>在任何情况下，本报告中的信息或所表述的意见并不构成对任何人的投资建议。在任何情况下，本公司不对任何人因使用本报告中的任何内容所引致的损失负任何责任。</w:t>
      </w:r>
    </w:p>
    <w:sectPr w:rsidR="00884DC5" w:rsidRPr="003F468D" w:rsidSect="00320652">
      <w:headerReference w:type="even" r:id="rId12"/>
      <w:headerReference w:type="default" r:id="rId13"/>
      <w:footerReference w:type="even" r:id="rId14"/>
      <w:footerReference w:type="default" r:id="rId15"/>
      <w:headerReference w:type="first" r:id="rId16"/>
      <w:footerReference w:type="first" r:id="rId17"/>
      <w:pgSz w:w="11906" w:h="16838" w:code="9"/>
      <w:pgMar w:top="1440" w:right="851" w:bottom="1440" w:left="3402" w:header="851" w:footer="992" w:gutter="227"/>
      <w:cols w:space="425"/>
      <w:docGrid w:type="lines" w:linePitch="326" w:charSpace="13025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31E" w:rsidRDefault="00FE431E" w:rsidP="00D263F3">
      <w:pPr>
        <w:ind w:firstLine="440"/>
      </w:pPr>
      <w:r>
        <w:separator/>
      </w:r>
    </w:p>
    <w:p w:rsidR="00FE431E" w:rsidRDefault="00FE431E" w:rsidP="00D263F3">
      <w:pPr>
        <w:ind w:firstLine="440"/>
      </w:pPr>
    </w:p>
    <w:p w:rsidR="00FE431E" w:rsidRDefault="00FE431E" w:rsidP="00D263F3">
      <w:pPr>
        <w:ind w:firstLine="440"/>
      </w:pPr>
    </w:p>
  </w:endnote>
  <w:endnote w:type="continuationSeparator" w:id="0">
    <w:p w:rsidR="00FE431E" w:rsidRDefault="00FE431E" w:rsidP="00D263F3">
      <w:pPr>
        <w:ind w:firstLine="440"/>
      </w:pPr>
      <w:r>
        <w:continuationSeparator/>
      </w:r>
    </w:p>
    <w:p w:rsidR="00FE431E" w:rsidRDefault="00FE431E" w:rsidP="00D263F3">
      <w:pPr>
        <w:ind w:firstLine="440"/>
      </w:pPr>
    </w:p>
    <w:p w:rsidR="00FE431E" w:rsidRDefault="00FE431E" w:rsidP="00D263F3">
      <w:pPr>
        <w:ind w:firstLine="440"/>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细黑">
    <w:altName w:val="Lingoes Unicode"/>
    <w:charset w:val="86"/>
    <w:family w:val="auto"/>
    <w:pitch w:val="variable"/>
    <w:sig w:usb0="00000000" w:usb1="080F0000" w:usb2="00000010" w:usb3="00000000" w:csb0="0004009F" w:csb1="00000000"/>
  </w:font>
  <w:font w:name="楷体_GB2312">
    <w:altName w:val="楷体"/>
    <w:panose1 w:val="02010609030101010101"/>
    <w:charset w:val="86"/>
    <w:family w:val="modern"/>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E0" w:rsidRDefault="00355DE0" w:rsidP="00355DE0">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E0" w:rsidRDefault="00355DE0" w:rsidP="00B93B29">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E0" w:rsidRDefault="00355DE0" w:rsidP="00355DE0">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31E" w:rsidRDefault="00FE431E" w:rsidP="00D263F3">
      <w:pPr>
        <w:ind w:firstLine="440"/>
      </w:pPr>
      <w:r>
        <w:separator/>
      </w:r>
    </w:p>
    <w:p w:rsidR="00FE431E" w:rsidRDefault="00FE431E" w:rsidP="00D263F3">
      <w:pPr>
        <w:ind w:firstLine="440"/>
      </w:pPr>
    </w:p>
    <w:p w:rsidR="00FE431E" w:rsidRDefault="00FE431E" w:rsidP="00D263F3">
      <w:pPr>
        <w:ind w:firstLine="440"/>
      </w:pPr>
    </w:p>
  </w:footnote>
  <w:footnote w:type="continuationSeparator" w:id="0">
    <w:p w:rsidR="00FE431E" w:rsidRDefault="00FE431E" w:rsidP="00D263F3">
      <w:pPr>
        <w:ind w:firstLine="440"/>
      </w:pPr>
      <w:r>
        <w:continuationSeparator/>
      </w:r>
    </w:p>
    <w:p w:rsidR="00FE431E" w:rsidRDefault="00FE431E" w:rsidP="00D263F3">
      <w:pPr>
        <w:ind w:firstLine="440"/>
      </w:pPr>
    </w:p>
    <w:p w:rsidR="00FE431E" w:rsidRDefault="00FE431E" w:rsidP="00D263F3">
      <w:pPr>
        <w:ind w:firstLine="44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E0" w:rsidRDefault="00355DE0" w:rsidP="00355DE0">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663" w:rsidRPr="004C4A00" w:rsidRDefault="00E16663" w:rsidP="00B93B29">
    <w:pPr>
      <w:pStyle w:val="a4"/>
      <w:ind w:leftChars="-1158" w:left="-2408" w:hangingChars="50" w:hanging="140"/>
      <w:jc w:val="left"/>
      <w:rPr>
        <w:sz w:val="24"/>
      </w:rPr>
    </w:pPr>
    <w:r w:rsidRPr="004C4A00">
      <w:rPr>
        <w:rFonts w:hint="eastAsia"/>
        <w:sz w:val="28"/>
      </w:rPr>
      <w:t>周</w:t>
    </w:r>
    <w:r>
      <w:rPr>
        <w:rFonts w:hint="eastAsia"/>
        <w:sz w:val="28"/>
      </w:rPr>
      <w:t>度</w:t>
    </w:r>
    <w:r w:rsidRPr="004C4A00">
      <w:rPr>
        <w:rFonts w:hint="eastAsia"/>
        <w:sz w:val="28"/>
      </w:rPr>
      <w:t>报</w:t>
    </w:r>
    <w:r>
      <w:rPr>
        <w:rFonts w:hint="eastAsia"/>
        <w:sz w:val="28"/>
      </w:rPr>
      <w:t>告</w:t>
    </w:r>
    <w:r>
      <w:rPr>
        <w:rFonts w:hint="eastAsia"/>
        <w:sz w:val="24"/>
      </w:rPr>
      <w:t xml:space="preserve">                                                  </w:t>
    </w:r>
    <w:r>
      <w:rPr>
        <w:noProof/>
        <w:sz w:val="24"/>
      </w:rPr>
      <w:drawing>
        <wp:inline distT="0" distB="0" distL="0" distR="0">
          <wp:extent cx="1752923" cy="216000"/>
          <wp:effectExtent l="19050" t="0" r="0" b="0"/>
          <wp:docPr id="5" name="图片 4" descr="logo集合-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集合-03.jpg"/>
                  <pic:cNvPicPr/>
                </pic:nvPicPr>
                <pic:blipFill>
                  <a:blip r:embed="rId1"/>
                  <a:srcRect t="43386" b="44180"/>
                  <a:stretch>
                    <a:fillRect/>
                  </a:stretch>
                </pic:blipFill>
                <pic:spPr>
                  <a:xfrm>
                    <a:off x="0" y="0"/>
                    <a:ext cx="1752923" cy="216000"/>
                  </a:xfrm>
                  <a:prstGeom prst="rect">
                    <a:avLst/>
                  </a:prstGeom>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DE0" w:rsidRDefault="00355DE0" w:rsidP="00355DE0">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D44430"/>
    <w:multiLevelType w:val="multilevel"/>
    <w:tmpl w:val="64D4A5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5D584A"/>
    <w:multiLevelType w:val="hybridMultilevel"/>
    <w:tmpl w:val="E6D8816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216C5847"/>
    <w:multiLevelType w:val="multilevel"/>
    <w:tmpl w:val="CDF4A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2308C2"/>
    <w:multiLevelType w:val="multilevel"/>
    <w:tmpl w:val="70004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3C41AB"/>
    <w:multiLevelType w:val="hybridMultilevel"/>
    <w:tmpl w:val="552CEEFA"/>
    <w:lvl w:ilvl="0" w:tplc="7C7E8FE6">
      <w:start w:val="1"/>
      <w:numFmt w:val="bullet"/>
      <w:pStyle w:val="a"/>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705F3DF2"/>
    <w:multiLevelType w:val="hybridMultilevel"/>
    <w:tmpl w:val="199AACC4"/>
    <w:lvl w:ilvl="0" w:tplc="0F4072DE">
      <w:start w:val="1"/>
      <w:numFmt w:val="japaneseCounting"/>
      <w:lvlText w:val="第%1部"/>
      <w:lvlJc w:val="left"/>
      <w:pPr>
        <w:ind w:left="960" w:hanging="9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7B5A6D7B"/>
    <w:multiLevelType w:val="hybridMultilevel"/>
    <w:tmpl w:val="8C8C6802"/>
    <w:lvl w:ilvl="0" w:tplc="19A29A6C">
      <w:start w:val="1"/>
      <w:numFmt w:val="decimal"/>
      <w:lvlText w:val="%1、"/>
      <w:lvlJc w:val="left"/>
      <w:pPr>
        <w:ind w:left="1220" w:hanging="780"/>
      </w:pPr>
      <w:rPr>
        <w:rFonts w:ascii="宋体" w:eastAsia="宋体" w:hAnsi="宋体" w:cs="宋体" w:hint="default"/>
      </w:rPr>
    </w:lvl>
    <w:lvl w:ilvl="1" w:tplc="04090019" w:tentative="1">
      <w:start w:val="1"/>
      <w:numFmt w:val="lowerLetter"/>
      <w:lvlText w:val="%2)"/>
      <w:lvlJc w:val="left"/>
      <w:pPr>
        <w:ind w:left="1280" w:hanging="420"/>
      </w:pPr>
    </w:lvl>
    <w:lvl w:ilvl="2" w:tplc="0409001B" w:tentative="1">
      <w:start w:val="1"/>
      <w:numFmt w:val="lowerRoman"/>
      <w:lvlText w:val="%3."/>
      <w:lvlJc w:val="right"/>
      <w:pPr>
        <w:ind w:left="1700" w:hanging="420"/>
      </w:pPr>
    </w:lvl>
    <w:lvl w:ilvl="3" w:tplc="0409000F" w:tentative="1">
      <w:start w:val="1"/>
      <w:numFmt w:val="decimal"/>
      <w:lvlText w:val="%4."/>
      <w:lvlJc w:val="left"/>
      <w:pPr>
        <w:ind w:left="2120" w:hanging="420"/>
      </w:pPr>
    </w:lvl>
    <w:lvl w:ilvl="4" w:tplc="04090019" w:tentative="1">
      <w:start w:val="1"/>
      <w:numFmt w:val="lowerLetter"/>
      <w:lvlText w:val="%5)"/>
      <w:lvlJc w:val="left"/>
      <w:pPr>
        <w:ind w:left="2540" w:hanging="420"/>
      </w:pPr>
    </w:lvl>
    <w:lvl w:ilvl="5" w:tplc="0409001B" w:tentative="1">
      <w:start w:val="1"/>
      <w:numFmt w:val="lowerRoman"/>
      <w:lvlText w:val="%6."/>
      <w:lvlJc w:val="right"/>
      <w:pPr>
        <w:ind w:left="2960" w:hanging="420"/>
      </w:pPr>
    </w:lvl>
    <w:lvl w:ilvl="6" w:tplc="0409000F" w:tentative="1">
      <w:start w:val="1"/>
      <w:numFmt w:val="decimal"/>
      <w:lvlText w:val="%7."/>
      <w:lvlJc w:val="left"/>
      <w:pPr>
        <w:ind w:left="3380" w:hanging="420"/>
      </w:pPr>
    </w:lvl>
    <w:lvl w:ilvl="7" w:tplc="04090019" w:tentative="1">
      <w:start w:val="1"/>
      <w:numFmt w:val="lowerLetter"/>
      <w:lvlText w:val="%8)"/>
      <w:lvlJc w:val="left"/>
      <w:pPr>
        <w:ind w:left="3800" w:hanging="420"/>
      </w:pPr>
    </w:lvl>
    <w:lvl w:ilvl="8" w:tplc="0409001B" w:tentative="1">
      <w:start w:val="1"/>
      <w:numFmt w:val="lowerRoman"/>
      <w:lvlText w:val="%9."/>
      <w:lvlJc w:val="right"/>
      <w:pPr>
        <w:ind w:left="4220" w:hanging="420"/>
      </w:pPr>
    </w:lvl>
  </w:abstractNum>
  <w:num w:numId="1">
    <w:abstractNumId w:val="4"/>
  </w:num>
  <w:num w:numId="2">
    <w:abstractNumId w:val="5"/>
  </w:num>
  <w:num w:numId="3">
    <w:abstractNumId w:val="1"/>
  </w:num>
  <w:num w:numId="4">
    <w:abstractNumId w:val="0"/>
  </w:num>
  <w:num w:numId="5">
    <w:abstractNumId w:val="3"/>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stylePaneFormatFilter w:val="3F01"/>
  <w:defaultTabStop w:val="420"/>
  <w:drawingGridHorizontalSpacing w:val="438"/>
  <w:drawingGridVerticalSpacing w:val="163"/>
  <w:displayHorizontalDrawingGridEvery w:val="0"/>
  <w:displayVerticalDrawingGridEvery w:val="2"/>
  <w:characterSpacingControl w:val="compressPunctuation"/>
  <w:hdrShapeDefaults>
    <o:shapedefaults v:ext="edit" spidmax="314370" style="mso-position-horizontal:left;mso-position-horizontal-relative:margin;mso-position-vertical:top;mso-position-vertical-relative:page" fillcolor="#9cf" stroke="f">
      <v:fill color="#9cf"/>
      <v:stroke on="f"/>
      <v:textbox style="layout-flow:vertical-ideographic"/>
      <o:colormru v:ext="edit" colors="#06f,#99f,#ccf"/>
      <o:colormenu v:ext="edit" fillcolor="none"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5086D"/>
    <w:rsid w:val="00001E26"/>
    <w:rsid w:val="00002235"/>
    <w:rsid w:val="00006064"/>
    <w:rsid w:val="00012343"/>
    <w:rsid w:val="00012440"/>
    <w:rsid w:val="00012A45"/>
    <w:rsid w:val="00012B96"/>
    <w:rsid w:val="00013780"/>
    <w:rsid w:val="00014A0E"/>
    <w:rsid w:val="0001591D"/>
    <w:rsid w:val="00015EE1"/>
    <w:rsid w:val="00020CE1"/>
    <w:rsid w:val="000230AA"/>
    <w:rsid w:val="0002322A"/>
    <w:rsid w:val="0002359E"/>
    <w:rsid w:val="0002459D"/>
    <w:rsid w:val="00025FA6"/>
    <w:rsid w:val="0002651B"/>
    <w:rsid w:val="00027330"/>
    <w:rsid w:val="00027872"/>
    <w:rsid w:val="000315D1"/>
    <w:rsid w:val="00032A1A"/>
    <w:rsid w:val="000332D3"/>
    <w:rsid w:val="000337C6"/>
    <w:rsid w:val="0003438C"/>
    <w:rsid w:val="00034C11"/>
    <w:rsid w:val="0003514A"/>
    <w:rsid w:val="0003525C"/>
    <w:rsid w:val="00035552"/>
    <w:rsid w:val="00035ACA"/>
    <w:rsid w:val="00035AEA"/>
    <w:rsid w:val="000440D6"/>
    <w:rsid w:val="0005091A"/>
    <w:rsid w:val="0005097E"/>
    <w:rsid w:val="0005103D"/>
    <w:rsid w:val="00053E58"/>
    <w:rsid w:val="00056070"/>
    <w:rsid w:val="0006071E"/>
    <w:rsid w:val="00064621"/>
    <w:rsid w:val="000651D8"/>
    <w:rsid w:val="00066D75"/>
    <w:rsid w:val="00067E70"/>
    <w:rsid w:val="00070F76"/>
    <w:rsid w:val="00071A20"/>
    <w:rsid w:val="0007386B"/>
    <w:rsid w:val="00074359"/>
    <w:rsid w:val="00075FD3"/>
    <w:rsid w:val="00076A2E"/>
    <w:rsid w:val="00077B9F"/>
    <w:rsid w:val="0008105C"/>
    <w:rsid w:val="00081E72"/>
    <w:rsid w:val="0008414A"/>
    <w:rsid w:val="00084C8D"/>
    <w:rsid w:val="000850DD"/>
    <w:rsid w:val="00086318"/>
    <w:rsid w:val="000874DD"/>
    <w:rsid w:val="000943E7"/>
    <w:rsid w:val="000946B6"/>
    <w:rsid w:val="00096774"/>
    <w:rsid w:val="000969A3"/>
    <w:rsid w:val="000976D1"/>
    <w:rsid w:val="000A083F"/>
    <w:rsid w:val="000A101B"/>
    <w:rsid w:val="000A276F"/>
    <w:rsid w:val="000A3DD0"/>
    <w:rsid w:val="000A4076"/>
    <w:rsid w:val="000A4223"/>
    <w:rsid w:val="000B09DC"/>
    <w:rsid w:val="000B0EA5"/>
    <w:rsid w:val="000B2823"/>
    <w:rsid w:val="000B34E7"/>
    <w:rsid w:val="000B3E4C"/>
    <w:rsid w:val="000B4232"/>
    <w:rsid w:val="000B4A6B"/>
    <w:rsid w:val="000B5C4C"/>
    <w:rsid w:val="000C3201"/>
    <w:rsid w:val="000C655A"/>
    <w:rsid w:val="000C7B89"/>
    <w:rsid w:val="000C7C36"/>
    <w:rsid w:val="000D2AE7"/>
    <w:rsid w:val="000D6131"/>
    <w:rsid w:val="000D65B1"/>
    <w:rsid w:val="000D6AE9"/>
    <w:rsid w:val="000D7EE9"/>
    <w:rsid w:val="000E0B50"/>
    <w:rsid w:val="000E19D5"/>
    <w:rsid w:val="000E1AD0"/>
    <w:rsid w:val="000E4B86"/>
    <w:rsid w:val="000E635B"/>
    <w:rsid w:val="000F187A"/>
    <w:rsid w:val="000F3311"/>
    <w:rsid w:val="000F5CCD"/>
    <w:rsid w:val="000F6A26"/>
    <w:rsid w:val="0010323D"/>
    <w:rsid w:val="00104D1E"/>
    <w:rsid w:val="00105078"/>
    <w:rsid w:val="001101E0"/>
    <w:rsid w:val="00113558"/>
    <w:rsid w:val="00114DAE"/>
    <w:rsid w:val="0011772C"/>
    <w:rsid w:val="00120609"/>
    <w:rsid w:val="0012170D"/>
    <w:rsid w:val="00123267"/>
    <w:rsid w:val="00125BE1"/>
    <w:rsid w:val="001338F6"/>
    <w:rsid w:val="00134A99"/>
    <w:rsid w:val="001372F1"/>
    <w:rsid w:val="001411D3"/>
    <w:rsid w:val="001423E5"/>
    <w:rsid w:val="00144CB5"/>
    <w:rsid w:val="00145DAB"/>
    <w:rsid w:val="0014633F"/>
    <w:rsid w:val="001467BA"/>
    <w:rsid w:val="00152496"/>
    <w:rsid w:val="00152A03"/>
    <w:rsid w:val="0015747D"/>
    <w:rsid w:val="00160966"/>
    <w:rsid w:val="001609E0"/>
    <w:rsid w:val="0016261F"/>
    <w:rsid w:val="001651AF"/>
    <w:rsid w:val="00165D5A"/>
    <w:rsid w:val="00166226"/>
    <w:rsid w:val="00172B79"/>
    <w:rsid w:val="0017370B"/>
    <w:rsid w:val="00174E76"/>
    <w:rsid w:val="00175EF4"/>
    <w:rsid w:val="00180DA6"/>
    <w:rsid w:val="001812A4"/>
    <w:rsid w:val="001813A2"/>
    <w:rsid w:val="00183886"/>
    <w:rsid w:val="0018487E"/>
    <w:rsid w:val="001854B1"/>
    <w:rsid w:val="001863A3"/>
    <w:rsid w:val="001864BC"/>
    <w:rsid w:val="00187CFA"/>
    <w:rsid w:val="001922A6"/>
    <w:rsid w:val="00192BAF"/>
    <w:rsid w:val="00194C03"/>
    <w:rsid w:val="00194CAF"/>
    <w:rsid w:val="00195A4B"/>
    <w:rsid w:val="00195A92"/>
    <w:rsid w:val="0019672B"/>
    <w:rsid w:val="00197944"/>
    <w:rsid w:val="001A10AC"/>
    <w:rsid w:val="001A11CF"/>
    <w:rsid w:val="001A291A"/>
    <w:rsid w:val="001A3AF1"/>
    <w:rsid w:val="001A5141"/>
    <w:rsid w:val="001A52BB"/>
    <w:rsid w:val="001A5444"/>
    <w:rsid w:val="001A5802"/>
    <w:rsid w:val="001A6A14"/>
    <w:rsid w:val="001B058C"/>
    <w:rsid w:val="001B0BD1"/>
    <w:rsid w:val="001B1926"/>
    <w:rsid w:val="001B395B"/>
    <w:rsid w:val="001B57D2"/>
    <w:rsid w:val="001B7039"/>
    <w:rsid w:val="001C2AFE"/>
    <w:rsid w:val="001C2EFF"/>
    <w:rsid w:val="001C4806"/>
    <w:rsid w:val="001C5505"/>
    <w:rsid w:val="001C6135"/>
    <w:rsid w:val="001D166D"/>
    <w:rsid w:val="001D1A5D"/>
    <w:rsid w:val="001D289C"/>
    <w:rsid w:val="001D2A72"/>
    <w:rsid w:val="001D2B8B"/>
    <w:rsid w:val="001D3321"/>
    <w:rsid w:val="001D4C15"/>
    <w:rsid w:val="001E248C"/>
    <w:rsid w:val="001E4304"/>
    <w:rsid w:val="001E5D55"/>
    <w:rsid w:val="001E69AC"/>
    <w:rsid w:val="001F299E"/>
    <w:rsid w:val="001F4BB4"/>
    <w:rsid w:val="001F57C1"/>
    <w:rsid w:val="001F73AD"/>
    <w:rsid w:val="0020064F"/>
    <w:rsid w:val="00202554"/>
    <w:rsid w:val="00203125"/>
    <w:rsid w:val="002043EE"/>
    <w:rsid w:val="00213DBC"/>
    <w:rsid w:val="00214DAD"/>
    <w:rsid w:val="00221AAF"/>
    <w:rsid w:val="00221F00"/>
    <w:rsid w:val="00227A6B"/>
    <w:rsid w:val="002314E8"/>
    <w:rsid w:val="00236131"/>
    <w:rsid w:val="002367FF"/>
    <w:rsid w:val="00236B07"/>
    <w:rsid w:val="00236C4D"/>
    <w:rsid w:val="002416A6"/>
    <w:rsid w:val="00242513"/>
    <w:rsid w:val="00246C87"/>
    <w:rsid w:val="00251113"/>
    <w:rsid w:val="002528DA"/>
    <w:rsid w:val="002554A5"/>
    <w:rsid w:val="00257EB6"/>
    <w:rsid w:val="0026417D"/>
    <w:rsid w:val="0026534D"/>
    <w:rsid w:val="00265D93"/>
    <w:rsid w:val="00267281"/>
    <w:rsid w:val="00272DCB"/>
    <w:rsid w:val="002730C8"/>
    <w:rsid w:val="00273C27"/>
    <w:rsid w:val="00287C71"/>
    <w:rsid w:val="00287FFA"/>
    <w:rsid w:val="00290037"/>
    <w:rsid w:val="00291D55"/>
    <w:rsid w:val="00292597"/>
    <w:rsid w:val="00293944"/>
    <w:rsid w:val="002A2918"/>
    <w:rsid w:val="002A2977"/>
    <w:rsid w:val="002A4612"/>
    <w:rsid w:val="002A764B"/>
    <w:rsid w:val="002B2059"/>
    <w:rsid w:val="002B2898"/>
    <w:rsid w:val="002B28C6"/>
    <w:rsid w:val="002B335E"/>
    <w:rsid w:val="002B724B"/>
    <w:rsid w:val="002C5ADB"/>
    <w:rsid w:val="002C760E"/>
    <w:rsid w:val="002C78EF"/>
    <w:rsid w:val="002D0DD4"/>
    <w:rsid w:val="002D2915"/>
    <w:rsid w:val="002D344A"/>
    <w:rsid w:val="002D43F4"/>
    <w:rsid w:val="002D5041"/>
    <w:rsid w:val="002E23FB"/>
    <w:rsid w:val="002E5D49"/>
    <w:rsid w:val="002F05CE"/>
    <w:rsid w:val="002F2F33"/>
    <w:rsid w:val="002F5463"/>
    <w:rsid w:val="002F5C83"/>
    <w:rsid w:val="002F6AC6"/>
    <w:rsid w:val="00301BC4"/>
    <w:rsid w:val="00302548"/>
    <w:rsid w:val="00304D48"/>
    <w:rsid w:val="00307A9A"/>
    <w:rsid w:val="0031060A"/>
    <w:rsid w:val="0031386D"/>
    <w:rsid w:val="0031431F"/>
    <w:rsid w:val="00315F99"/>
    <w:rsid w:val="003205FE"/>
    <w:rsid w:val="00320652"/>
    <w:rsid w:val="00320E2B"/>
    <w:rsid w:val="0032178A"/>
    <w:rsid w:val="00323ECB"/>
    <w:rsid w:val="003251B7"/>
    <w:rsid w:val="0032678E"/>
    <w:rsid w:val="0033264E"/>
    <w:rsid w:val="003366A9"/>
    <w:rsid w:val="00336BE4"/>
    <w:rsid w:val="00345400"/>
    <w:rsid w:val="00345A20"/>
    <w:rsid w:val="00345C4A"/>
    <w:rsid w:val="00350F9C"/>
    <w:rsid w:val="00351267"/>
    <w:rsid w:val="0035143F"/>
    <w:rsid w:val="0035211D"/>
    <w:rsid w:val="00354657"/>
    <w:rsid w:val="00355DE0"/>
    <w:rsid w:val="003565D2"/>
    <w:rsid w:val="00357B6C"/>
    <w:rsid w:val="003601D3"/>
    <w:rsid w:val="00360E03"/>
    <w:rsid w:val="003668F4"/>
    <w:rsid w:val="00370063"/>
    <w:rsid w:val="00370546"/>
    <w:rsid w:val="00372DE4"/>
    <w:rsid w:val="00373449"/>
    <w:rsid w:val="00374B62"/>
    <w:rsid w:val="003861E9"/>
    <w:rsid w:val="00386E97"/>
    <w:rsid w:val="00387346"/>
    <w:rsid w:val="00387707"/>
    <w:rsid w:val="003920E8"/>
    <w:rsid w:val="003936B5"/>
    <w:rsid w:val="00393D83"/>
    <w:rsid w:val="00394835"/>
    <w:rsid w:val="00395159"/>
    <w:rsid w:val="00396340"/>
    <w:rsid w:val="003969F6"/>
    <w:rsid w:val="0039741F"/>
    <w:rsid w:val="003A21DA"/>
    <w:rsid w:val="003A46C2"/>
    <w:rsid w:val="003A4830"/>
    <w:rsid w:val="003A4CC0"/>
    <w:rsid w:val="003A6B22"/>
    <w:rsid w:val="003B2839"/>
    <w:rsid w:val="003B32F6"/>
    <w:rsid w:val="003B6FC9"/>
    <w:rsid w:val="003B7161"/>
    <w:rsid w:val="003C5462"/>
    <w:rsid w:val="003C6DFD"/>
    <w:rsid w:val="003C79BF"/>
    <w:rsid w:val="003D14A7"/>
    <w:rsid w:val="003D16A8"/>
    <w:rsid w:val="003D1A40"/>
    <w:rsid w:val="003E0CAE"/>
    <w:rsid w:val="003E27A0"/>
    <w:rsid w:val="003E69F7"/>
    <w:rsid w:val="003E760C"/>
    <w:rsid w:val="003F2BCA"/>
    <w:rsid w:val="003F3D92"/>
    <w:rsid w:val="003F45C4"/>
    <w:rsid w:val="003F468D"/>
    <w:rsid w:val="003F497C"/>
    <w:rsid w:val="003F4AA6"/>
    <w:rsid w:val="003F53B6"/>
    <w:rsid w:val="0040206B"/>
    <w:rsid w:val="00404843"/>
    <w:rsid w:val="004055F6"/>
    <w:rsid w:val="00405A08"/>
    <w:rsid w:val="0040700E"/>
    <w:rsid w:val="00407412"/>
    <w:rsid w:val="00407918"/>
    <w:rsid w:val="0041051E"/>
    <w:rsid w:val="00411BF5"/>
    <w:rsid w:val="004120AE"/>
    <w:rsid w:val="004125C0"/>
    <w:rsid w:val="00412C93"/>
    <w:rsid w:val="00416B69"/>
    <w:rsid w:val="0041795A"/>
    <w:rsid w:val="0042106E"/>
    <w:rsid w:val="00423029"/>
    <w:rsid w:val="00423AD9"/>
    <w:rsid w:val="00425EB5"/>
    <w:rsid w:val="00426C53"/>
    <w:rsid w:val="004271E1"/>
    <w:rsid w:val="00427F25"/>
    <w:rsid w:val="00430D47"/>
    <w:rsid w:val="004356FC"/>
    <w:rsid w:val="00436CB1"/>
    <w:rsid w:val="00436E66"/>
    <w:rsid w:val="00437AB1"/>
    <w:rsid w:val="004413BD"/>
    <w:rsid w:val="00441909"/>
    <w:rsid w:val="00441FEC"/>
    <w:rsid w:val="0044300C"/>
    <w:rsid w:val="00444472"/>
    <w:rsid w:val="00447CA3"/>
    <w:rsid w:val="00450BB0"/>
    <w:rsid w:val="0045173F"/>
    <w:rsid w:val="00452666"/>
    <w:rsid w:val="0045375F"/>
    <w:rsid w:val="00453EC8"/>
    <w:rsid w:val="00460269"/>
    <w:rsid w:val="0046157F"/>
    <w:rsid w:val="004625E0"/>
    <w:rsid w:val="00462E7F"/>
    <w:rsid w:val="004638F9"/>
    <w:rsid w:val="00470CF1"/>
    <w:rsid w:val="00470ED3"/>
    <w:rsid w:val="00472B79"/>
    <w:rsid w:val="004730A7"/>
    <w:rsid w:val="00474AEF"/>
    <w:rsid w:val="00474B03"/>
    <w:rsid w:val="004750CF"/>
    <w:rsid w:val="00484791"/>
    <w:rsid w:val="00484A13"/>
    <w:rsid w:val="00484A14"/>
    <w:rsid w:val="0049228A"/>
    <w:rsid w:val="0049341D"/>
    <w:rsid w:val="004938A6"/>
    <w:rsid w:val="00494CDA"/>
    <w:rsid w:val="00496D83"/>
    <w:rsid w:val="004A400A"/>
    <w:rsid w:val="004A53FF"/>
    <w:rsid w:val="004B05CA"/>
    <w:rsid w:val="004B1F93"/>
    <w:rsid w:val="004B65C4"/>
    <w:rsid w:val="004B6CC7"/>
    <w:rsid w:val="004C10DB"/>
    <w:rsid w:val="004C2063"/>
    <w:rsid w:val="004C256F"/>
    <w:rsid w:val="004C3356"/>
    <w:rsid w:val="004C4A00"/>
    <w:rsid w:val="004C4C92"/>
    <w:rsid w:val="004C5574"/>
    <w:rsid w:val="004D0F13"/>
    <w:rsid w:val="004D4998"/>
    <w:rsid w:val="004D79C3"/>
    <w:rsid w:val="004D7B1B"/>
    <w:rsid w:val="004E1110"/>
    <w:rsid w:val="004F12D1"/>
    <w:rsid w:val="004F170F"/>
    <w:rsid w:val="004F528A"/>
    <w:rsid w:val="004F6F3A"/>
    <w:rsid w:val="004F742E"/>
    <w:rsid w:val="004F7987"/>
    <w:rsid w:val="0050244E"/>
    <w:rsid w:val="005034DE"/>
    <w:rsid w:val="00503924"/>
    <w:rsid w:val="00503B7E"/>
    <w:rsid w:val="005040F4"/>
    <w:rsid w:val="00504565"/>
    <w:rsid w:val="005104E7"/>
    <w:rsid w:val="0051324C"/>
    <w:rsid w:val="00513DF0"/>
    <w:rsid w:val="00521E0E"/>
    <w:rsid w:val="005270C3"/>
    <w:rsid w:val="005329E3"/>
    <w:rsid w:val="00533F61"/>
    <w:rsid w:val="00534583"/>
    <w:rsid w:val="00534893"/>
    <w:rsid w:val="00536EB7"/>
    <w:rsid w:val="005378AF"/>
    <w:rsid w:val="00541D62"/>
    <w:rsid w:val="00544C25"/>
    <w:rsid w:val="00544F0A"/>
    <w:rsid w:val="00546F1A"/>
    <w:rsid w:val="00550070"/>
    <w:rsid w:val="00551210"/>
    <w:rsid w:val="005512C2"/>
    <w:rsid w:val="0055246E"/>
    <w:rsid w:val="00555AD0"/>
    <w:rsid w:val="00556D18"/>
    <w:rsid w:val="00563573"/>
    <w:rsid w:val="00566B2F"/>
    <w:rsid w:val="00570738"/>
    <w:rsid w:val="00572776"/>
    <w:rsid w:val="00573DF2"/>
    <w:rsid w:val="00575AE4"/>
    <w:rsid w:val="00581C47"/>
    <w:rsid w:val="00581CF7"/>
    <w:rsid w:val="005820FC"/>
    <w:rsid w:val="00582FA7"/>
    <w:rsid w:val="00585FE2"/>
    <w:rsid w:val="0058611B"/>
    <w:rsid w:val="005924B6"/>
    <w:rsid w:val="0059327B"/>
    <w:rsid w:val="00597367"/>
    <w:rsid w:val="005A0473"/>
    <w:rsid w:val="005A1DCE"/>
    <w:rsid w:val="005A37BD"/>
    <w:rsid w:val="005A4BB0"/>
    <w:rsid w:val="005B3E60"/>
    <w:rsid w:val="005B6906"/>
    <w:rsid w:val="005B6E11"/>
    <w:rsid w:val="005C1394"/>
    <w:rsid w:val="005C34FD"/>
    <w:rsid w:val="005C5678"/>
    <w:rsid w:val="005C5917"/>
    <w:rsid w:val="005C5B85"/>
    <w:rsid w:val="005D1966"/>
    <w:rsid w:val="005D24E2"/>
    <w:rsid w:val="005D4FA0"/>
    <w:rsid w:val="005E0DE5"/>
    <w:rsid w:val="005E135D"/>
    <w:rsid w:val="005E1E0C"/>
    <w:rsid w:val="005E4BEF"/>
    <w:rsid w:val="005E4BFD"/>
    <w:rsid w:val="005E71D7"/>
    <w:rsid w:val="005F032F"/>
    <w:rsid w:val="005F4BD2"/>
    <w:rsid w:val="005F6BE1"/>
    <w:rsid w:val="00601557"/>
    <w:rsid w:val="006041E7"/>
    <w:rsid w:val="00604D56"/>
    <w:rsid w:val="00605B77"/>
    <w:rsid w:val="00615384"/>
    <w:rsid w:val="006175A0"/>
    <w:rsid w:val="00623868"/>
    <w:rsid w:val="006242BD"/>
    <w:rsid w:val="0062790E"/>
    <w:rsid w:val="00627CC7"/>
    <w:rsid w:val="00633666"/>
    <w:rsid w:val="00636CBB"/>
    <w:rsid w:val="00641326"/>
    <w:rsid w:val="00644265"/>
    <w:rsid w:val="006442F1"/>
    <w:rsid w:val="00645C25"/>
    <w:rsid w:val="00646F47"/>
    <w:rsid w:val="00647CDA"/>
    <w:rsid w:val="00650BA2"/>
    <w:rsid w:val="006636B0"/>
    <w:rsid w:val="00663A13"/>
    <w:rsid w:val="0066663E"/>
    <w:rsid w:val="00671E6F"/>
    <w:rsid w:val="00673721"/>
    <w:rsid w:val="00675432"/>
    <w:rsid w:val="00675C4D"/>
    <w:rsid w:val="006770C8"/>
    <w:rsid w:val="006810A2"/>
    <w:rsid w:val="006857A5"/>
    <w:rsid w:val="00694375"/>
    <w:rsid w:val="00694A6D"/>
    <w:rsid w:val="006958DF"/>
    <w:rsid w:val="00695FFA"/>
    <w:rsid w:val="006961C8"/>
    <w:rsid w:val="006979B2"/>
    <w:rsid w:val="006A2900"/>
    <w:rsid w:val="006A2A7A"/>
    <w:rsid w:val="006A38F1"/>
    <w:rsid w:val="006A561E"/>
    <w:rsid w:val="006A758A"/>
    <w:rsid w:val="006B204C"/>
    <w:rsid w:val="006B381C"/>
    <w:rsid w:val="006B488D"/>
    <w:rsid w:val="006C00C4"/>
    <w:rsid w:val="006C0FA4"/>
    <w:rsid w:val="006C41E6"/>
    <w:rsid w:val="006C5800"/>
    <w:rsid w:val="006C6598"/>
    <w:rsid w:val="006C7317"/>
    <w:rsid w:val="006C759D"/>
    <w:rsid w:val="006D1D57"/>
    <w:rsid w:val="006D3E7B"/>
    <w:rsid w:val="006D4FCE"/>
    <w:rsid w:val="006D6748"/>
    <w:rsid w:val="006E0418"/>
    <w:rsid w:val="006E10A0"/>
    <w:rsid w:val="006E197B"/>
    <w:rsid w:val="006E2CB3"/>
    <w:rsid w:val="006E31E6"/>
    <w:rsid w:val="006E4B8E"/>
    <w:rsid w:val="006F2BC1"/>
    <w:rsid w:val="006F347F"/>
    <w:rsid w:val="006F6111"/>
    <w:rsid w:val="00702378"/>
    <w:rsid w:val="007023EA"/>
    <w:rsid w:val="00702951"/>
    <w:rsid w:val="00705FBF"/>
    <w:rsid w:val="00706008"/>
    <w:rsid w:val="007067B2"/>
    <w:rsid w:val="007113D3"/>
    <w:rsid w:val="00720AA7"/>
    <w:rsid w:val="00722CCA"/>
    <w:rsid w:val="007244D0"/>
    <w:rsid w:val="00724C82"/>
    <w:rsid w:val="00726D07"/>
    <w:rsid w:val="00727753"/>
    <w:rsid w:val="0073724F"/>
    <w:rsid w:val="00743F54"/>
    <w:rsid w:val="007441ED"/>
    <w:rsid w:val="00745986"/>
    <w:rsid w:val="00745E38"/>
    <w:rsid w:val="00747406"/>
    <w:rsid w:val="00750AB4"/>
    <w:rsid w:val="00751087"/>
    <w:rsid w:val="0075287D"/>
    <w:rsid w:val="00756937"/>
    <w:rsid w:val="00761459"/>
    <w:rsid w:val="00762F15"/>
    <w:rsid w:val="0076397F"/>
    <w:rsid w:val="00765173"/>
    <w:rsid w:val="00767876"/>
    <w:rsid w:val="007753D2"/>
    <w:rsid w:val="007758D4"/>
    <w:rsid w:val="007776FA"/>
    <w:rsid w:val="00777755"/>
    <w:rsid w:val="00777B86"/>
    <w:rsid w:val="00781FA0"/>
    <w:rsid w:val="0078217A"/>
    <w:rsid w:val="00782C07"/>
    <w:rsid w:val="00791132"/>
    <w:rsid w:val="00794897"/>
    <w:rsid w:val="00794C31"/>
    <w:rsid w:val="00795F50"/>
    <w:rsid w:val="00797EC6"/>
    <w:rsid w:val="007A1A41"/>
    <w:rsid w:val="007A2229"/>
    <w:rsid w:val="007A2F3D"/>
    <w:rsid w:val="007A2FB6"/>
    <w:rsid w:val="007A30A8"/>
    <w:rsid w:val="007A5198"/>
    <w:rsid w:val="007A5EAA"/>
    <w:rsid w:val="007A77B0"/>
    <w:rsid w:val="007B2007"/>
    <w:rsid w:val="007B2AD9"/>
    <w:rsid w:val="007B41B1"/>
    <w:rsid w:val="007B44B2"/>
    <w:rsid w:val="007B46DE"/>
    <w:rsid w:val="007B7114"/>
    <w:rsid w:val="007B7C1F"/>
    <w:rsid w:val="007C295A"/>
    <w:rsid w:val="007C5E2B"/>
    <w:rsid w:val="007C6BEE"/>
    <w:rsid w:val="007D1422"/>
    <w:rsid w:val="007D3DE6"/>
    <w:rsid w:val="007D3FD5"/>
    <w:rsid w:val="007D4093"/>
    <w:rsid w:val="007D434B"/>
    <w:rsid w:val="007D616C"/>
    <w:rsid w:val="007D6562"/>
    <w:rsid w:val="007E03E1"/>
    <w:rsid w:val="007E09FF"/>
    <w:rsid w:val="007E0D4E"/>
    <w:rsid w:val="007E2639"/>
    <w:rsid w:val="007E483E"/>
    <w:rsid w:val="007E4D9B"/>
    <w:rsid w:val="007E5EA2"/>
    <w:rsid w:val="007E6219"/>
    <w:rsid w:val="007E65B9"/>
    <w:rsid w:val="007F12A3"/>
    <w:rsid w:val="007F1A1F"/>
    <w:rsid w:val="007F2179"/>
    <w:rsid w:val="007F5A45"/>
    <w:rsid w:val="0080084E"/>
    <w:rsid w:val="00803757"/>
    <w:rsid w:val="00803B6A"/>
    <w:rsid w:val="00804807"/>
    <w:rsid w:val="00810BBD"/>
    <w:rsid w:val="008121E2"/>
    <w:rsid w:val="00816A25"/>
    <w:rsid w:val="00817E14"/>
    <w:rsid w:val="0082031D"/>
    <w:rsid w:val="00821C1F"/>
    <w:rsid w:val="0082248A"/>
    <w:rsid w:val="008255AE"/>
    <w:rsid w:val="0082609B"/>
    <w:rsid w:val="00826366"/>
    <w:rsid w:val="008300FC"/>
    <w:rsid w:val="00830776"/>
    <w:rsid w:val="00830DEF"/>
    <w:rsid w:val="00831FDB"/>
    <w:rsid w:val="0083221A"/>
    <w:rsid w:val="00836869"/>
    <w:rsid w:val="00836A5E"/>
    <w:rsid w:val="00843369"/>
    <w:rsid w:val="00843965"/>
    <w:rsid w:val="0084745A"/>
    <w:rsid w:val="008475BF"/>
    <w:rsid w:val="00850888"/>
    <w:rsid w:val="00851F6B"/>
    <w:rsid w:val="008536AD"/>
    <w:rsid w:val="00853F83"/>
    <w:rsid w:val="008548DB"/>
    <w:rsid w:val="008573F0"/>
    <w:rsid w:val="00857FB9"/>
    <w:rsid w:val="00862BE2"/>
    <w:rsid w:val="00865696"/>
    <w:rsid w:val="00865E91"/>
    <w:rsid w:val="00867762"/>
    <w:rsid w:val="008678A3"/>
    <w:rsid w:val="008702B2"/>
    <w:rsid w:val="0087066B"/>
    <w:rsid w:val="008724FD"/>
    <w:rsid w:val="00872AC6"/>
    <w:rsid w:val="008765C3"/>
    <w:rsid w:val="00876945"/>
    <w:rsid w:val="0087788B"/>
    <w:rsid w:val="00883024"/>
    <w:rsid w:val="00883C8E"/>
    <w:rsid w:val="00884DC5"/>
    <w:rsid w:val="00884E2B"/>
    <w:rsid w:val="00885464"/>
    <w:rsid w:val="00887145"/>
    <w:rsid w:val="008959E6"/>
    <w:rsid w:val="008A1BCA"/>
    <w:rsid w:val="008A70D2"/>
    <w:rsid w:val="008A74D3"/>
    <w:rsid w:val="008A77B5"/>
    <w:rsid w:val="008A785C"/>
    <w:rsid w:val="008B0B35"/>
    <w:rsid w:val="008B0D3A"/>
    <w:rsid w:val="008B2EF0"/>
    <w:rsid w:val="008B3938"/>
    <w:rsid w:val="008B4EA1"/>
    <w:rsid w:val="008B5164"/>
    <w:rsid w:val="008B54A0"/>
    <w:rsid w:val="008B5A27"/>
    <w:rsid w:val="008B69AE"/>
    <w:rsid w:val="008B76DD"/>
    <w:rsid w:val="008B7B6B"/>
    <w:rsid w:val="008D1899"/>
    <w:rsid w:val="008D18F3"/>
    <w:rsid w:val="008D2958"/>
    <w:rsid w:val="008D31F3"/>
    <w:rsid w:val="008D54D6"/>
    <w:rsid w:val="008D551E"/>
    <w:rsid w:val="008D6EBC"/>
    <w:rsid w:val="008D79DB"/>
    <w:rsid w:val="008E0C91"/>
    <w:rsid w:val="008E156D"/>
    <w:rsid w:val="008E3AA0"/>
    <w:rsid w:val="008E3E45"/>
    <w:rsid w:val="008E674D"/>
    <w:rsid w:val="008F0D87"/>
    <w:rsid w:val="008F23FE"/>
    <w:rsid w:val="008F2E1E"/>
    <w:rsid w:val="008F4167"/>
    <w:rsid w:val="008F5256"/>
    <w:rsid w:val="008F5DE4"/>
    <w:rsid w:val="008F6F2E"/>
    <w:rsid w:val="008F703C"/>
    <w:rsid w:val="008F7421"/>
    <w:rsid w:val="00901B9F"/>
    <w:rsid w:val="009020C5"/>
    <w:rsid w:val="0090294D"/>
    <w:rsid w:val="00902AE0"/>
    <w:rsid w:val="00904D04"/>
    <w:rsid w:val="00910423"/>
    <w:rsid w:val="009111CE"/>
    <w:rsid w:val="009114B4"/>
    <w:rsid w:val="0091294D"/>
    <w:rsid w:val="00913A24"/>
    <w:rsid w:val="009144B4"/>
    <w:rsid w:val="00915CCC"/>
    <w:rsid w:val="00916115"/>
    <w:rsid w:val="0092197E"/>
    <w:rsid w:val="00922F14"/>
    <w:rsid w:val="009235FA"/>
    <w:rsid w:val="00923C99"/>
    <w:rsid w:val="00924C88"/>
    <w:rsid w:val="00925C3F"/>
    <w:rsid w:val="00925FD5"/>
    <w:rsid w:val="00932373"/>
    <w:rsid w:val="00932BB4"/>
    <w:rsid w:val="0093523C"/>
    <w:rsid w:val="0093612E"/>
    <w:rsid w:val="009404EE"/>
    <w:rsid w:val="00940B7F"/>
    <w:rsid w:val="00940EF2"/>
    <w:rsid w:val="00941FEE"/>
    <w:rsid w:val="00942467"/>
    <w:rsid w:val="00942927"/>
    <w:rsid w:val="0094368D"/>
    <w:rsid w:val="00944FD0"/>
    <w:rsid w:val="0094535D"/>
    <w:rsid w:val="00946F8A"/>
    <w:rsid w:val="0096233E"/>
    <w:rsid w:val="00962EC7"/>
    <w:rsid w:val="00963913"/>
    <w:rsid w:val="00964515"/>
    <w:rsid w:val="00964660"/>
    <w:rsid w:val="00970EBA"/>
    <w:rsid w:val="00971634"/>
    <w:rsid w:val="0097376B"/>
    <w:rsid w:val="00974905"/>
    <w:rsid w:val="00976147"/>
    <w:rsid w:val="00976CD4"/>
    <w:rsid w:val="0098032D"/>
    <w:rsid w:val="00980495"/>
    <w:rsid w:val="00981AA9"/>
    <w:rsid w:val="00982194"/>
    <w:rsid w:val="009825B2"/>
    <w:rsid w:val="0098574D"/>
    <w:rsid w:val="00987C4C"/>
    <w:rsid w:val="009902A6"/>
    <w:rsid w:val="0099126C"/>
    <w:rsid w:val="009929A7"/>
    <w:rsid w:val="009957DF"/>
    <w:rsid w:val="00995D0B"/>
    <w:rsid w:val="00997428"/>
    <w:rsid w:val="009976EE"/>
    <w:rsid w:val="009A0DAD"/>
    <w:rsid w:val="009A1F45"/>
    <w:rsid w:val="009A2892"/>
    <w:rsid w:val="009A437E"/>
    <w:rsid w:val="009A6798"/>
    <w:rsid w:val="009B090F"/>
    <w:rsid w:val="009B1075"/>
    <w:rsid w:val="009B1228"/>
    <w:rsid w:val="009B27F2"/>
    <w:rsid w:val="009B5B32"/>
    <w:rsid w:val="009B6A82"/>
    <w:rsid w:val="009C04EF"/>
    <w:rsid w:val="009C26C6"/>
    <w:rsid w:val="009C39B3"/>
    <w:rsid w:val="009C7FF9"/>
    <w:rsid w:val="009D042E"/>
    <w:rsid w:val="009D166E"/>
    <w:rsid w:val="009D1680"/>
    <w:rsid w:val="009D5901"/>
    <w:rsid w:val="009D7BE3"/>
    <w:rsid w:val="009E30CE"/>
    <w:rsid w:val="009E3E36"/>
    <w:rsid w:val="009E3E78"/>
    <w:rsid w:val="009E6798"/>
    <w:rsid w:val="009F07D1"/>
    <w:rsid w:val="009F5F5C"/>
    <w:rsid w:val="00A065AE"/>
    <w:rsid w:val="00A067EE"/>
    <w:rsid w:val="00A07FF9"/>
    <w:rsid w:val="00A1160E"/>
    <w:rsid w:val="00A11C05"/>
    <w:rsid w:val="00A12931"/>
    <w:rsid w:val="00A138F7"/>
    <w:rsid w:val="00A144D6"/>
    <w:rsid w:val="00A14E6E"/>
    <w:rsid w:val="00A16B9B"/>
    <w:rsid w:val="00A16CE9"/>
    <w:rsid w:val="00A21B4F"/>
    <w:rsid w:val="00A239C3"/>
    <w:rsid w:val="00A257E6"/>
    <w:rsid w:val="00A32DC3"/>
    <w:rsid w:val="00A356FD"/>
    <w:rsid w:val="00A35990"/>
    <w:rsid w:val="00A36C90"/>
    <w:rsid w:val="00A42357"/>
    <w:rsid w:val="00A467B7"/>
    <w:rsid w:val="00A476E2"/>
    <w:rsid w:val="00A50DD9"/>
    <w:rsid w:val="00A52404"/>
    <w:rsid w:val="00A52C19"/>
    <w:rsid w:val="00A5379D"/>
    <w:rsid w:val="00A54D1E"/>
    <w:rsid w:val="00A60B45"/>
    <w:rsid w:val="00A61772"/>
    <w:rsid w:val="00A62400"/>
    <w:rsid w:val="00A634C6"/>
    <w:rsid w:val="00A64785"/>
    <w:rsid w:val="00A651F7"/>
    <w:rsid w:val="00A669A2"/>
    <w:rsid w:val="00A746EA"/>
    <w:rsid w:val="00A74D01"/>
    <w:rsid w:val="00A75D43"/>
    <w:rsid w:val="00A76E15"/>
    <w:rsid w:val="00A77BA5"/>
    <w:rsid w:val="00A81D39"/>
    <w:rsid w:val="00A83657"/>
    <w:rsid w:val="00A84A23"/>
    <w:rsid w:val="00A941EE"/>
    <w:rsid w:val="00A94A7F"/>
    <w:rsid w:val="00AA098E"/>
    <w:rsid w:val="00AA0B97"/>
    <w:rsid w:val="00AA3689"/>
    <w:rsid w:val="00AA4D31"/>
    <w:rsid w:val="00AA4DEA"/>
    <w:rsid w:val="00AA508D"/>
    <w:rsid w:val="00AA50A7"/>
    <w:rsid w:val="00AA6948"/>
    <w:rsid w:val="00AB186A"/>
    <w:rsid w:val="00AB7041"/>
    <w:rsid w:val="00AB7681"/>
    <w:rsid w:val="00AB7AB5"/>
    <w:rsid w:val="00AC2979"/>
    <w:rsid w:val="00AC6E96"/>
    <w:rsid w:val="00AD278C"/>
    <w:rsid w:val="00AD6812"/>
    <w:rsid w:val="00AE06A3"/>
    <w:rsid w:val="00AE2A61"/>
    <w:rsid w:val="00AE3675"/>
    <w:rsid w:val="00AE3E55"/>
    <w:rsid w:val="00AE6F79"/>
    <w:rsid w:val="00AF0CCD"/>
    <w:rsid w:val="00AF2338"/>
    <w:rsid w:val="00B0266C"/>
    <w:rsid w:val="00B02B23"/>
    <w:rsid w:val="00B02C14"/>
    <w:rsid w:val="00B02DFE"/>
    <w:rsid w:val="00B05129"/>
    <w:rsid w:val="00B111C0"/>
    <w:rsid w:val="00B13E25"/>
    <w:rsid w:val="00B17B48"/>
    <w:rsid w:val="00B23820"/>
    <w:rsid w:val="00B23957"/>
    <w:rsid w:val="00B24D6B"/>
    <w:rsid w:val="00B26614"/>
    <w:rsid w:val="00B310D9"/>
    <w:rsid w:val="00B3427A"/>
    <w:rsid w:val="00B34411"/>
    <w:rsid w:val="00B36653"/>
    <w:rsid w:val="00B366A9"/>
    <w:rsid w:val="00B37C01"/>
    <w:rsid w:val="00B40A10"/>
    <w:rsid w:val="00B40FD3"/>
    <w:rsid w:val="00B43509"/>
    <w:rsid w:val="00B46A8E"/>
    <w:rsid w:val="00B46D4F"/>
    <w:rsid w:val="00B46DCF"/>
    <w:rsid w:val="00B46FC5"/>
    <w:rsid w:val="00B53B0D"/>
    <w:rsid w:val="00B55551"/>
    <w:rsid w:val="00B55C5B"/>
    <w:rsid w:val="00B57CCC"/>
    <w:rsid w:val="00B57EBE"/>
    <w:rsid w:val="00B61CDF"/>
    <w:rsid w:val="00B62545"/>
    <w:rsid w:val="00B6288B"/>
    <w:rsid w:val="00B65FD4"/>
    <w:rsid w:val="00B67061"/>
    <w:rsid w:val="00B700D3"/>
    <w:rsid w:val="00B72632"/>
    <w:rsid w:val="00B76569"/>
    <w:rsid w:val="00B80BBC"/>
    <w:rsid w:val="00B81D0A"/>
    <w:rsid w:val="00B82A53"/>
    <w:rsid w:val="00B83A25"/>
    <w:rsid w:val="00B83AC5"/>
    <w:rsid w:val="00B86DA9"/>
    <w:rsid w:val="00B87495"/>
    <w:rsid w:val="00B902BB"/>
    <w:rsid w:val="00B91B7B"/>
    <w:rsid w:val="00B927D3"/>
    <w:rsid w:val="00B93B29"/>
    <w:rsid w:val="00B93C76"/>
    <w:rsid w:val="00B94240"/>
    <w:rsid w:val="00B943F3"/>
    <w:rsid w:val="00B94616"/>
    <w:rsid w:val="00B95F02"/>
    <w:rsid w:val="00BA0A33"/>
    <w:rsid w:val="00BA6E4C"/>
    <w:rsid w:val="00BB10F6"/>
    <w:rsid w:val="00BB291E"/>
    <w:rsid w:val="00BB6292"/>
    <w:rsid w:val="00BB6F8A"/>
    <w:rsid w:val="00BC1E5E"/>
    <w:rsid w:val="00BC315A"/>
    <w:rsid w:val="00BC327C"/>
    <w:rsid w:val="00BC4115"/>
    <w:rsid w:val="00BC4AF5"/>
    <w:rsid w:val="00BC5F95"/>
    <w:rsid w:val="00BD09E0"/>
    <w:rsid w:val="00BD0C1C"/>
    <w:rsid w:val="00BD20A9"/>
    <w:rsid w:val="00BD304D"/>
    <w:rsid w:val="00BD3FA9"/>
    <w:rsid w:val="00BD4407"/>
    <w:rsid w:val="00BD5606"/>
    <w:rsid w:val="00BD71CC"/>
    <w:rsid w:val="00BD7485"/>
    <w:rsid w:val="00BD7B83"/>
    <w:rsid w:val="00BE072B"/>
    <w:rsid w:val="00BE08AF"/>
    <w:rsid w:val="00BE104E"/>
    <w:rsid w:val="00BE1A21"/>
    <w:rsid w:val="00BE4890"/>
    <w:rsid w:val="00BE5CBD"/>
    <w:rsid w:val="00BE7223"/>
    <w:rsid w:val="00BE7D00"/>
    <w:rsid w:val="00BE7E7C"/>
    <w:rsid w:val="00BF6AAE"/>
    <w:rsid w:val="00BF7697"/>
    <w:rsid w:val="00C01E42"/>
    <w:rsid w:val="00C021F6"/>
    <w:rsid w:val="00C02DBC"/>
    <w:rsid w:val="00C04B70"/>
    <w:rsid w:val="00C050BF"/>
    <w:rsid w:val="00C06BAA"/>
    <w:rsid w:val="00C20016"/>
    <w:rsid w:val="00C21984"/>
    <w:rsid w:val="00C239C1"/>
    <w:rsid w:val="00C24368"/>
    <w:rsid w:val="00C25FF0"/>
    <w:rsid w:val="00C26DD1"/>
    <w:rsid w:val="00C27245"/>
    <w:rsid w:val="00C300AB"/>
    <w:rsid w:val="00C31A0D"/>
    <w:rsid w:val="00C31C89"/>
    <w:rsid w:val="00C32717"/>
    <w:rsid w:val="00C32CEF"/>
    <w:rsid w:val="00C35DFD"/>
    <w:rsid w:val="00C36D12"/>
    <w:rsid w:val="00C36D9E"/>
    <w:rsid w:val="00C451F8"/>
    <w:rsid w:val="00C5086D"/>
    <w:rsid w:val="00C51211"/>
    <w:rsid w:val="00C519C9"/>
    <w:rsid w:val="00C5215C"/>
    <w:rsid w:val="00C52B14"/>
    <w:rsid w:val="00C53F10"/>
    <w:rsid w:val="00C546B5"/>
    <w:rsid w:val="00C57134"/>
    <w:rsid w:val="00C5742B"/>
    <w:rsid w:val="00C57BE4"/>
    <w:rsid w:val="00C57F95"/>
    <w:rsid w:val="00C63C8F"/>
    <w:rsid w:val="00C65D68"/>
    <w:rsid w:val="00C67DF8"/>
    <w:rsid w:val="00C70089"/>
    <w:rsid w:val="00C74609"/>
    <w:rsid w:val="00C7465D"/>
    <w:rsid w:val="00C82B95"/>
    <w:rsid w:val="00C903FD"/>
    <w:rsid w:val="00C907F5"/>
    <w:rsid w:val="00C90909"/>
    <w:rsid w:val="00C90D5D"/>
    <w:rsid w:val="00C95056"/>
    <w:rsid w:val="00C95C22"/>
    <w:rsid w:val="00C96E45"/>
    <w:rsid w:val="00CA0E19"/>
    <w:rsid w:val="00CA0E4A"/>
    <w:rsid w:val="00CA21F4"/>
    <w:rsid w:val="00CA4659"/>
    <w:rsid w:val="00CB09EC"/>
    <w:rsid w:val="00CB1102"/>
    <w:rsid w:val="00CB35BC"/>
    <w:rsid w:val="00CB3BA5"/>
    <w:rsid w:val="00CB7805"/>
    <w:rsid w:val="00CB78CF"/>
    <w:rsid w:val="00CC08A6"/>
    <w:rsid w:val="00CC0CF6"/>
    <w:rsid w:val="00CC16B0"/>
    <w:rsid w:val="00CC354F"/>
    <w:rsid w:val="00CC3AB6"/>
    <w:rsid w:val="00CC4515"/>
    <w:rsid w:val="00CC62E7"/>
    <w:rsid w:val="00CC6372"/>
    <w:rsid w:val="00CC7BFE"/>
    <w:rsid w:val="00CD07C4"/>
    <w:rsid w:val="00CD2D98"/>
    <w:rsid w:val="00CD2E75"/>
    <w:rsid w:val="00CD3B72"/>
    <w:rsid w:val="00CD55DC"/>
    <w:rsid w:val="00CD61F4"/>
    <w:rsid w:val="00CE07CC"/>
    <w:rsid w:val="00CE152A"/>
    <w:rsid w:val="00CE2611"/>
    <w:rsid w:val="00CE2C6D"/>
    <w:rsid w:val="00CE3F13"/>
    <w:rsid w:val="00CE510E"/>
    <w:rsid w:val="00CE5436"/>
    <w:rsid w:val="00CF1E10"/>
    <w:rsid w:val="00CF24B3"/>
    <w:rsid w:val="00CF50F0"/>
    <w:rsid w:val="00CF7D5F"/>
    <w:rsid w:val="00D023D1"/>
    <w:rsid w:val="00D02A42"/>
    <w:rsid w:val="00D03F58"/>
    <w:rsid w:val="00D04B26"/>
    <w:rsid w:val="00D07B75"/>
    <w:rsid w:val="00D137C2"/>
    <w:rsid w:val="00D15AD7"/>
    <w:rsid w:val="00D17E35"/>
    <w:rsid w:val="00D17E69"/>
    <w:rsid w:val="00D2582A"/>
    <w:rsid w:val="00D263F3"/>
    <w:rsid w:val="00D27EE3"/>
    <w:rsid w:val="00D27F27"/>
    <w:rsid w:val="00D356DD"/>
    <w:rsid w:val="00D368CD"/>
    <w:rsid w:val="00D37D11"/>
    <w:rsid w:val="00D415B8"/>
    <w:rsid w:val="00D41B9A"/>
    <w:rsid w:val="00D42E97"/>
    <w:rsid w:val="00D44DB7"/>
    <w:rsid w:val="00D4614A"/>
    <w:rsid w:val="00D4697D"/>
    <w:rsid w:val="00D5012C"/>
    <w:rsid w:val="00D56D9B"/>
    <w:rsid w:val="00D572FA"/>
    <w:rsid w:val="00D60CE5"/>
    <w:rsid w:val="00D62174"/>
    <w:rsid w:val="00D64EB2"/>
    <w:rsid w:val="00D64F8D"/>
    <w:rsid w:val="00D657DA"/>
    <w:rsid w:val="00D658A2"/>
    <w:rsid w:val="00D658AB"/>
    <w:rsid w:val="00D67A8A"/>
    <w:rsid w:val="00D76FC3"/>
    <w:rsid w:val="00D77AA0"/>
    <w:rsid w:val="00D80B6C"/>
    <w:rsid w:val="00D859A8"/>
    <w:rsid w:val="00D862F4"/>
    <w:rsid w:val="00D86501"/>
    <w:rsid w:val="00D95AB8"/>
    <w:rsid w:val="00DA0F2B"/>
    <w:rsid w:val="00DA26FE"/>
    <w:rsid w:val="00DA6B7A"/>
    <w:rsid w:val="00DA72D6"/>
    <w:rsid w:val="00DB4270"/>
    <w:rsid w:val="00DB4A94"/>
    <w:rsid w:val="00DB7C24"/>
    <w:rsid w:val="00DC49DF"/>
    <w:rsid w:val="00DD028F"/>
    <w:rsid w:val="00DD0E84"/>
    <w:rsid w:val="00DD15EB"/>
    <w:rsid w:val="00DD42E3"/>
    <w:rsid w:val="00DD629F"/>
    <w:rsid w:val="00DD64E5"/>
    <w:rsid w:val="00DD7BC3"/>
    <w:rsid w:val="00DD7F42"/>
    <w:rsid w:val="00DE04AD"/>
    <w:rsid w:val="00DE0B60"/>
    <w:rsid w:val="00DE2626"/>
    <w:rsid w:val="00DE34E6"/>
    <w:rsid w:val="00DE4344"/>
    <w:rsid w:val="00DE525C"/>
    <w:rsid w:val="00DE59C1"/>
    <w:rsid w:val="00DE5AF4"/>
    <w:rsid w:val="00DE67AE"/>
    <w:rsid w:val="00DE782B"/>
    <w:rsid w:val="00DF1269"/>
    <w:rsid w:val="00DF3291"/>
    <w:rsid w:val="00DF539B"/>
    <w:rsid w:val="00DF6D7D"/>
    <w:rsid w:val="00DF6EB6"/>
    <w:rsid w:val="00DF75C8"/>
    <w:rsid w:val="00DF7E12"/>
    <w:rsid w:val="00E00A42"/>
    <w:rsid w:val="00E0541A"/>
    <w:rsid w:val="00E11A73"/>
    <w:rsid w:val="00E12613"/>
    <w:rsid w:val="00E13FD5"/>
    <w:rsid w:val="00E143B7"/>
    <w:rsid w:val="00E16663"/>
    <w:rsid w:val="00E173F8"/>
    <w:rsid w:val="00E17500"/>
    <w:rsid w:val="00E255E2"/>
    <w:rsid w:val="00E26792"/>
    <w:rsid w:val="00E2686A"/>
    <w:rsid w:val="00E26E95"/>
    <w:rsid w:val="00E27F46"/>
    <w:rsid w:val="00E30EA2"/>
    <w:rsid w:val="00E32F38"/>
    <w:rsid w:val="00E33539"/>
    <w:rsid w:val="00E33B32"/>
    <w:rsid w:val="00E35819"/>
    <w:rsid w:val="00E35876"/>
    <w:rsid w:val="00E406AA"/>
    <w:rsid w:val="00E439A7"/>
    <w:rsid w:val="00E43D0B"/>
    <w:rsid w:val="00E5354B"/>
    <w:rsid w:val="00E545D7"/>
    <w:rsid w:val="00E548A3"/>
    <w:rsid w:val="00E565BC"/>
    <w:rsid w:val="00E609C9"/>
    <w:rsid w:val="00E66CFE"/>
    <w:rsid w:val="00E70DC7"/>
    <w:rsid w:val="00E7134E"/>
    <w:rsid w:val="00E718F6"/>
    <w:rsid w:val="00E73895"/>
    <w:rsid w:val="00E746E5"/>
    <w:rsid w:val="00E74A21"/>
    <w:rsid w:val="00E76709"/>
    <w:rsid w:val="00E77DCE"/>
    <w:rsid w:val="00E82514"/>
    <w:rsid w:val="00E875BB"/>
    <w:rsid w:val="00E936B4"/>
    <w:rsid w:val="00E94782"/>
    <w:rsid w:val="00EA08B9"/>
    <w:rsid w:val="00EA5CAC"/>
    <w:rsid w:val="00EA77CD"/>
    <w:rsid w:val="00EA7BAF"/>
    <w:rsid w:val="00EB051C"/>
    <w:rsid w:val="00EB296F"/>
    <w:rsid w:val="00EB454B"/>
    <w:rsid w:val="00EB5CF6"/>
    <w:rsid w:val="00EB76F5"/>
    <w:rsid w:val="00EC03D6"/>
    <w:rsid w:val="00EC15BA"/>
    <w:rsid w:val="00EC1742"/>
    <w:rsid w:val="00EC174E"/>
    <w:rsid w:val="00EC24A5"/>
    <w:rsid w:val="00EC2865"/>
    <w:rsid w:val="00EC409A"/>
    <w:rsid w:val="00EC6181"/>
    <w:rsid w:val="00ED0C4A"/>
    <w:rsid w:val="00ED0D08"/>
    <w:rsid w:val="00ED0E7C"/>
    <w:rsid w:val="00ED27EA"/>
    <w:rsid w:val="00ED36B8"/>
    <w:rsid w:val="00ED5154"/>
    <w:rsid w:val="00ED5F76"/>
    <w:rsid w:val="00ED66BB"/>
    <w:rsid w:val="00ED6F0E"/>
    <w:rsid w:val="00ED7093"/>
    <w:rsid w:val="00EE1C12"/>
    <w:rsid w:val="00EE245D"/>
    <w:rsid w:val="00EE461D"/>
    <w:rsid w:val="00EE6F5B"/>
    <w:rsid w:val="00EE7232"/>
    <w:rsid w:val="00EE743D"/>
    <w:rsid w:val="00EE778D"/>
    <w:rsid w:val="00EE7A4F"/>
    <w:rsid w:val="00EF2275"/>
    <w:rsid w:val="00EF30A7"/>
    <w:rsid w:val="00EF511F"/>
    <w:rsid w:val="00EF5848"/>
    <w:rsid w:val="00EF6383"/>
    <w:rsid w:val="00EF6D6C"/>
    <w:rsid w:val="00EF7CAF"/>
    <w:rsid w:val="00F00517"/>
    <w:rsid w:val="00F00FCA"/>
    <w:rsid w:val="00F04E62"/>
    <w:rsid w:val="00F071C2"/>
    <w:rsid w:val="00F11AFC"/>
    <w:rsid w:val="00F139E7"/>
    <w:rsid w:val="00F13A04"/>
    <w:rsid w:val="00F14A37"/>
    <w:rsid w:val="00F14C05"/>
    <w:rsid w:val="00F237B6"/>
    <w:rsid w:val="00F2393F"/>
    <w:rsid w:val="00F23B2E"/>
    <w:rsid w:val="00F245A3"/>
    <w:rsid w:val="00F24B2E"/>
    <w:rsid w:val="00F2504B"/>
    <w:rsid w:val="00F301C0"/>
    <w:rsid w:val="00F33105"/>
    <w:rsid w:val="00F33B84"/>
    <w:rsid w:val="00F348C9"/>
    <w:rsid w:val="00F36306"/>
    <w:rsid w:val="00F37A1B"/>
    <w:rsid w:val="00F37DC3"/>
    <w:rsid w:val="00F40419"/>
    <w:rsid w:val="00F40BCC"/>
    <w:rsid w:val="00F421F5"/>
    <w:rsid w:val="00F427BD"/>
    <w:rsid w:val="00F449D9"/>
    <w:rsid w:val="00F46845"/>
    <w:rsid w:val="00F4716B"/>
    <w:rsid w:val="00F51D44"/>
    <w:rsid w:val="00F55FDA"/>
    <w:rsid w:val="00F62097"/>
    <w:rsid w:val="00F6254E"/>
    <w:rsid w:val="00F636D2"/>
    <w:rsid w:val="00F644F5"/>
    <w:rsid w:val="00F65245"/>
    <w:rsid w:val="00F664D4"/>
    <w:rsid w:val="00F714FD"/>
    <w:rsid w:val="00F71EB3"/>
    <w:rsid w:val="00F723B0"/>
    <w:rsid w:val="00F757EB"/>
    <w:rsid w:val="00F76A05"/>
    <w:rsid w:val="00F777A8"/>
    <w:rsid w:val="00F777C9"/>
    <w:rsid w:val="00F8030A"/>
    <w:rsid w:val="00F82E5F"/>
    <w:rsid w:val="00F84EFD"/>
    <w:rsid w:val="00F9092B"/>
    <w:rsid w:val="00F90BAE"/>
    <w:rsid w:val="00F91747"/>
    <w:rsid w:val="00F919D7"/>
    <w:rsid w:val="00F920EA"/>
    <w:rsid w:val="00F96170"/>
    <w:rsid w:val="00F97D35"/>
    <w:rsid w:val="00FA092E"/>
    <w:rsid w:val="00FA202F"/>
    <w:rsid w:val="00FA30CF"/>
    <w:rsid w:val="00FA3554"/>
    <w:rsid w:val="00FA4628"/>
    <w:rsid w:val="00FA624C"/>
    <w:rsid w:val="00FB48E7"/>
    <w:rsid w:val="00FB5217"/>
    <w:rsid w:val="00FB5268"/>
    <w:rsid w:val="00FB5ADA"/>
    <w:rsid w:val="00FC0485"/>
    <w:rsid w:val="00FC0742"/>
    <w:rsid w:val="00FC08F4"/>
    <w:rsid w:val="00FC19F2"/>
    <w:rsid w:val="00FC3357"/>
    <w:rsid w:val="00FC4892"/>
    <w:rsid w:val="00FD36F8"/>
    <w:rsid w:val="00FD50A0"/>
    <w:rsid w:val="00FD7DBC"/>
    <w:rsid w:val="00FE136D"/>
    <w:rsid w:val="00FE3021"/>
    <w:rsid w:val="00FE431E"/>
    <w:rsid w:val="00FF25B3"/>
    <w:rsid w:val="00FF2F2F"/>
    <w:rsid w:val="00FF3988"/>
    <w:rsid w:val="00FF7FB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4370" style="mso-position-horizontal:left;mso-position-horizontal-relative:margin;mso-position-vertical:top;mso-position-vertical-relative:page" fillcolor="#9cf" stroke="f">
      <v:fill color="#9cf"/>
      <v:stroke on="f"/>
      <v:textbox style="layout-flow:vertical-ideographic"/>
      <o:colormru v:ext="edit" colors="#06f,#99f,#ccf"/>
      <o:colormenu v:ext="edit" fillcolor="none" strokecolor="none [321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trong" w:uiPriority="22" w:qFormat="1"/>
    <w:lsdException w:name="Emphasis" w:uiPriority="20"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a0">
    <w:name w:val="Normal"/>
    <w:qFormat/>
    <w:rsid w:val="00D263F3"/>
    <w:pPr>
      <w:widowControl w:val="0"/>
      <w:ind w:firstLineChars="200" w:firstLine="200"/>
      <w:jc w:val="both"/>
    </w:pPr>
    <w:rPr>
      <w:rFonts w:eastAsia="华文细黑"/>
      <w:kern w:val="2"/>
      <w:sz w:val="22"/>
      <w:szCs w:val="24"/>
    </w:rPr>
  </w:style>
  <w:style w:type="paragraph" w:styleId="1">
    <w:name w:val="heading 1"/>
    <w:basedOn w:val="a0"/>
    <w:next w:val="a0"/>
    <w:link w:val="1Char"/>
    <w:qFormat/>
    <w:rsid w:val="00D263F3"/>
    <w:pPr>
      <w:spacing w:beforeLines="100"/>
      <w:ind w:firstLine="721"/>
      <w:outlineLvl w:val="0"/>
    </w:pPr>
    <w:rPr>
      <w:b/>
      <w:color w:val="010281"/>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0D6AE9"/>
    <w:pPr>
      <w:pBdr>
        <w:bottom w:val="single" w:sz="6" w:space="1" w:color="auto"/>
      </w:pBdr>
      <w:tabs>
        <w:tab w:val="center" w:pos="4153"/>
        <w:tab w:val="right" w:pos="8306"/>
      </w:tabs>
      <w:snapToGrid w:val="0"/>
      <w:jc w:val="center"/>
    </w:pPr>
    <w:rPr>
      <w:sz w:val="18"/>
      <w:szCs w:val="18"/>
    </w:rPr>
  </w:style>
  <w:style w:type="paragraph" w:styleId="a5">
    <w:name w:val="footer"/>
    <w:basedOn w:val="a0"/>
    <w:link w:val="Char"/>
    <w:uiPriority w:val="99"/>
    <w:rsid w:val="000D6AE9"/>
    <w:pPr>
      <w:tabs>
        <w:tab w:val="center" w:pos="4153"/>
        <w:tab w:val="right" w:pos="8306"/>
      </w:tabs>
      <w:snapToGrid w:val="0"/>
      <w:jc w:val="left"/>
    </w:pPr>
    <w:rPr>
      <w:sz w:val="18"/>
      <w:szCs w:val="18"/>
    </w:rPr>
  </w:style>
  <w:style w:type="character" w:styleId="a6">
    <w:name w:val="Hyperlink"/>
    <w:basedOn w:val="a1"/>
    <w:rsid w:val="00995D0B"/>
    <w:rPr>
      <w:color w:val="0000FF"/>
      <w:u w:val="single"/>
    </w:rPr>
  </w:style>
  <w:style w:type="table" w:styleId="a7">
    <w:name w:val="Table Grid"/>
    <w:basedOn w:val="a2"/>
    <w:rsid w:val="00AD681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1"/>
    <w:rsid w:val="00F644F5"/>
  </w:style>
  <w:style w:type="paragraph" w:styleId="a9">
    <w:name w:val="Title"/>
    <w:basedOn w:val="a0"/>
    <w:next w:val="a0"/>
    <w:link w:val="Char0"/>
    <w:qFormat/>
    <w:rsid w:val="00831FDB"/>
    <w:pPr>
      <w:jc w:val="left"/>
    </w:pPr>
    <w:rPr>
      <w:rFonts w:ascii="楷体_GB2312"/>
      <w:b/>
      <w:sz w:val="44"/>
      <w:szCs w:val="44"/>
    </w:rPr>
  </w:style>
  <w:style w:type="character" w:customStyle="1" w:styleId="Char0">
    <w:name w:val="标题 Char"/>
    <w:basedOn w:val="a1"/>
    <w:link w:val="a9"/>
    <w:rsid w:val="00831FDB"/>
    <w:rPr>
      <w:rFonts w:ascii="楷体_GB2312" w:eastAsia="华文细黑"/>
      <w:b/>
      <w:kern w:val="2"/>
      <w:sz w:val="44"/>
      <w:szCs w:val="44"/>
    </w:rPr>
  </w:style>
  <w:style w:type="character" w:styleId="aa">
    <w:name w:val="Emphasis"/>
    <w:uiPriority w:val="20"/>
    <w:qFormat/>
    <w:rsid w:val="00831FDB"/>
    <w:rPr>
      <w:rFonts w:ascii="楷体_GB2312" w:eastAsia="华文细黑"/>
      <w:b/>
      <w:sz w:val="24"/>
    </w:rPr>
  </w:style>
  <w:style w:type="character" w:styleId="ab">
    <w:name w:val="Strong"/>
    <w:uiPriority w:val="22"/>
    <w:qFormat/>
    <w:rsid w:val="00D263F3"/>
    <w:rPr>
      <w:rFonts w:ascii="楷体_GB2312"/>
      <w:b/>
      <w:color w:val="010281"/>
      <w:sz w:val="30"/>
      <w:szCs w:val="30"/>
    </w:rPr>
  </w:style>
  <w:style w:type="character" w:customStyle="1" w:styleId="1Char">
    <w:name w:val="标题 1 Char"/>
    <w:basedOn w:val="a1"/>
    <w:link w:val="1"/>
    <w:rsid w:val="00D263F3"/>
    <w:rPr>
      <w:rFonts w:eastAsia="华文细黑"/>
      <w:b/>
      <w:color w:val="010281"/>
      <w:kern w:val="2"/>
      <w:sz w:val="36"/>
      <w:szCs w:val="36"/>
    </w:rPr>
  </w:style>
  <w:style w:type="paragraph" w:customStyle="1" w:styleId="2">
    <w:name w:val="标题2"/>
    <w:basedOn w:val="a0"/>
    <w:link w:val="2Char"/>
    <w:qFormat/>
    <w:rsid w:val="00D263F3"/>
    <w:pPr>
      <w:spacing w:beforeLines="50"/>
      <w:ind w:firstLine="601"/>
    </w:pPr>
    <w:rPr>
      <w:b/>
      <w:color w:val="010281"/>
      <w:sz w:val="30"/>
      <w:szCs w:val="30"/>
      <w:u w:val="single"/>
    </w:rPr>
  </w:style>
  <w:style w:type="paragraph" w:customStyle="1" w:styleId="3">
    <w:name w:val="标题3"/>
    <w:basedOn w:val="a0"/>
    <w:link w:val="3Char"/>
    <w:qFormat/>
    <w:rsid w:val="00134A99"/>
    <w:pPr>
      <w:spacing w:beforeLines="50"/>
    </w:pPr>
    <w:rPr>
      <w:b/>
      <w:color w:val="003399"/>
      <w:sz w:val="28"/>
      <w:szCs w:val="28"/>
    </w:rPr>
  </w:style>
  <w:style w:type="character" w:customStyle="1" w:styleId="2Char">
    <w:name w:val="标题2 Char"/>
    <w:basedOn w:val="a1"/>
    <w:link w:val="2"/>
    <w:rsid w:val="00D263F3"/>
    <w:rPr>
      <w:rFonts w:eastAsia="华文细黑"/>
      <w:b/>
      <w:color w:val="010281"/>
      <w:kern w:val="2"/>
      <w:sz w:val="30"/>
      <w:szCs w:val="30"/>
      <w:u w:val="single"/>
    </w:rPr>
  </w:style>
  <w:style w:type="paragraph" w:customStyle="1" w:styleId="ac">
    <w:name w:val="图表头"/>
    <w:basedOn w:val="a0"/>
    <w:link w:val="Char1"/>
    <w:qFormat/>
    <w:rsid w:val="00F301C0"/>
    <w:pPr>
      <w:jc w:val="center"/>
    </w:pPr>
    <w:rPr>
      <w:b/>
      <w:sz w:val="21"/>
      <w:szCs w:val="21"/>
    </w:rPr>
  </w:style>
  <w:style w:type="character" w:customStyle="1" w:styleId="3Char">
    <w:name w:val="标题3 Char"/>
    <w:basedOn w:val="a1"/>
    <w:link w:val="3"/>
    <w:rsid w:val="00134A99"/>
    <w:rPr>
      <w:rFonts w:eastAsia="华文细黑"/>
      <w:b/>
      <w:color w:val="003399"/>
      <w:kern w:val="2"/>
      <w:sz w:val="28"/>
      <w:szCs w:val="28"/>
    </w:rPr>
  </w:style>
  <w:style w:type="paragraph" w:customStyle="1" w:styleId="ad">
    <w:name w:val="图表注"/>
    <w:basedOn w:val="a0"/>
    <w:link w:val="Char2"/>
    <w:qFormat/>
    <w:rsid w:val="00F301C0"/>
    <w:pPr>
      <w:jc w:val="center"/>
    </w:pPr>
    <w:rPr>
      <w:sz w:val="21"/>
      <w:szCs w:val="21"/>
    </w:rPr>
  </w:style>
  <w:style w:type="character" w:customStyle="1" w:styleId="Char1">
    <w:name w:val="图表头 Char"/>
    <w:basedOn w:val="a1"/>
    <w:link w:val="ac"/>
    <w:rsid w:val="00F301C0"/>
    <w:rPr>
      <w:rFonts w:eastAsia="华文细黑"/>
      <w:b/>
      <w:kern w:val="2"/>
      <w:sz w:val="21"/>
      <w:szCs w:val="21"/>
    </w:rPr>
  </w:style>
  <w:style w:type="paragraph" w:customStyle="1" w:styleId="a">
    <w:name w:val="摘要"/>
    <w:basedOn w:val="a0"/>
    <w:link w:val="Char3"/>
    <w:qFormat/>
    <w:rsid w:val="00581C47"/>
    <w:pPr>
      <w:numPr>
        <w:numId w:val="1"/>
      </w:numPr>
      <w:spacing w:beforeLines="50"/>
      <w:jc w:val="left"/>
    </w:pPr>
    <w:rPr>
      <w:rFonts w:ascii="楷体_GB2312"/>
    </w:rPr>
  </w:style>
  <w:style w:type="character" w:customStyle="1" w:styleId="Char2">
    <w:name w:val="图表注 Char"/>
    <w:basedOn w:val="a1"/>
    <w:link w:val="ad"/>
    <w:rsid w:val="00F301C0"/>
    <w:rPr>
      <w:rFonts w:eastAsia="华文细黑"/>
      <w:kern w:val="2"/>
      <w:sz w:val="21"/>
      <w:szCs w:val="21"/>
    </w:rPr>
  </w:style>
  <w:style w:type="paragraph" w:styleId="ae">
    <w:name w:val="Balloon Text"/>
    <w:basedOn w:val="a0"/>
    <w:link w:val="Char4"/>
    <w:rsid w:val="001813A2"/>
    <w:rPr>
      <w:sz w:val="18"/>
      <w:szCs w:val="18"/>
    </w:rPr>
  </w:style>
  <w:style w:type="character" w:customStyle="1" w:styleId="Char3">
    <w:name w:val="摘要 Char"/>
    <w:basedOn w:val="a1"/>
    <w:link w:val="a"/>
    <w:rsid w:val="00581C47"/>
    <w:rPr>
      <w:rFonts w:ascii="楷体_GB2312" w:eastAsia="楷体"/>
      <w:kern w:val="2"/>
      <w:sz w:val="24"/>
      <w:szCs w:val="24"/>
    </w:rPr>
  </w:style>
  <w:style w:type="character" w:customStyle="1" w:styleId="Char4">
    <w:name w:val="批注框文本 Char"/>
    <w:basedOn w:val="a1"/>
    <w:link w:val="ae"/>
    <w:rsid w:val="001813A2"/>
    <w:rPr>
      <w:rFonts w:eastAsia="楷体"/>
      <w:kern w:val="2"/>
      <w:sz w:val="18"/>
      <w:szCs w:val="18"/>
    </w:rPr>
  </w:style>
  <w:style w:type="character" w:customStyle="1" w:styleId="Char">
    <w:name w:val="页脚 Char"/>
    <w:basedOn w:val="a1"/>
    <w:link w:val="a5"/>
    <w:uiPriority w:val="99"/>
    <w:rsid w:val="004B6CC7"/>
    <w:rPr>
      <w:rFonts w:eastAsia="楷体"/>
      <w:kern w:val="2"/>
      <w:sz w:val="18"/>
      <w:szCs w:val="18"/>
    </w:rPr>
  </w:style>
  <w:style w:type="paragraph" w:styleId="af">
    <w:name w:val="List Paragraph"/>
    <w:basedOn w:val="a0"/>
    <w:uiPriority w:val="34"/>
    <w:rsid w:val="000651D8"/>
    <w:pPr>
      <w:ind w:firstLine="420"/>
    </w:pPr>
  </w:style>
  <w:style w:type="paragraph" w:styleId="af0">
    <w:name w:val="Normal (Web)"/>
    <w:basedOn w:val="a0"/>
    <w:uiPriority w:val="99"/>
    <w:unhideWhenUsed/>
    <w:rsid w:val="00172B79"/>
    <w:pPr>
      <w:widowControl/>
      <w:spacing w:before="100" w:beforeAutospacing="1" w:after="100" w:afterAutospacing="1"/>
      <w:ind w:firstLineChars="0" w:firstLine="0"/>
      <w:jc w:val="left"/>
    </w:pPr>
    <w:rPr>
      <w:rFonts w:ascii="宋体" w:eastAsia="宋体" w:hAnsi="宋体" w:cs="宋体"/>
      <w:kern w:val="0"/>
      <w:sz w:val="24"/>
    </w:rPr>
  </w:style>
  <w:style w:type="paragraph" w:styleId="20">
    <w:name w:val="List 2"/>
    <w:basedOn w:val="a0"/>
    <w:rsid w:val="00EF7CAF"/>
    <w:pPr>
      <w:ind w:leftChars="200" w:left="100" w:hangingChars="200" w:hanging="200"/>
    </w:pPr>
    <w:rPr>
      <w:rFonts w:ascii="Calibri" w:eastAsia="宋体" w:hAnsi="Calibri"/>
      <w:sz w:val="21"/>
      <w:szCs w:val="22"/>
    </w:rPr>
  </w:style>
  <w:style w:type="character" w:customStyle="1" w:styleId="apple-converted-space">
    <w:name w:val="apple-converted-space"/>
    <w:basedOn w:val="a1"/>
    <w:rsid w:val="00160966"/>
  </w:style>
</w:styles>
</file>

<file path=word/webSettings.xml><?xml version="1.0" encoding="utf-8"?>
<w:webSettings xmlns:r="http://schemas.openxmlformats.org/officeDocument/2006/relationships" xmlns:w="http://schemas.openxmlformats.org/wordprocessingml/2006/main">
  <w:divs>
    <w:div w:id="59639735">
      <w:bodyDiv w:val="1"/>
      <w:marLeft w:val="0"/>
      <w:marRight w:val="0"/>
      <w:marTop w:val="0"/>
      <w:marBottom w:val="0"/>
      <w:divBdr>
        <w:top w:val="none" w:sz="0" w:space="0" w:color="auto"/>
        <w:left w:val="none" w:sz="0" w:space="0" w:color="auto"/>
        <w:bottom w:val="none" w:sz="0" w:space="0" w:color="auto"/>
        <w:right w:val="none" w:sz="0" w:space="0" w:color="auto"/>
      </w:divBdr>
      <w:divsChild>
        <w:div w:id="1274632995">
          <w:marLeft w:val="0"/>
          <w:marRight w:val="0"/>
          <w:marTop w:val="150"/>
          <w:marBottom w:val="0"/>
          <w:divBdr>
            <w:top w:val="none" w:sz="0" w:space="0" w:color="auto"/>
            <w:left w:val="none" w:sz="0" w:space="0" w:color="auto"/>
            <w:bottom w:val="none" w:sz="0" w:space="0" w:color="auto"/>
            <w:right w:val="none" w:sz="0" w:space="0" w:color="auto"/>
          </w:divBdr>
          <w:divsChild>
            <w:div w:id="1051005064">
              <w:marLeft w:val="0"/>
              <w:marRight w:val="0"/>
              <w:marTop w:val="0"/>
              <w:marBottom w:val="0"/>
              <w:divBdr>
                <w:top w:val="single" w:sz="6" w:space="0" w:color="C1D1DA"/>
                <w:left w:val="single" w:sz="6" w:space="0" w:color="C1D1DA"/>
                <w:bottom w:val="none" w:sz="0" w:space="0" w:color="auto"/>
                <w:right w:val="single" w:sz="6" w:space="0" w:color="C1D1DA"/>
              </w:divBdr>
              <w:divsChild>
                <w:div w:id="1942953387">
                  <w:marLeft w:val="0"/>
                  <w:marRight w:val="0"/>
                  <w:marTop w:val="100"/>
                  <w:marBottom w:val="100"/>
                  <w:divBdr>
                    <w:top w:val="none" w:sz="0" w:space="0" w:color="auto"/>
                    <w:left w:val="none" w:sz="0" w:space="0" w:color="auto"/>
                    <w:bottom w:val="none" w:sz="0" w:space="0" w:color="auto"/>
                    <w:right w:val="none" w:sz="0" w:space="0" w:color="auto"/>
                  </w:divBdr>
                  <w:divsChild>
                    <w:div w:id="765659433">
                      <w:marLeft w:val="225"/>
                      <w:marRight w:val="225"/>
                      <w:marTop w:val="225"/>
                      <w:marBottom w:val="225"/>
                      <w:divBdr>
                        <w:top w:val="none" w:sz="0" w:space="0" w:color="auto"/>
                        <w:left w:val="none" w:sz="0" w:space="0" w:color="auto"/>
                        <w:bottom w:val="none" w:sz="0" w:space="0" w:color="auto"/>
                        <w:right w:val="none" w:sz="0" w:space="0" w:color="auto"/>
                      </w:divBdr>
                      <w:divsChild>
                        <w:div w:id="1112940591">
                          <w:marLeft w:val="0"/>
                          <w:marRight w:val="0"/>
                          <w:marTop w:val="0"/>
                          <w:marBottom w:val="0"/>
                          <w:divBdr>
                            <w:top w:val="none" w:sz="0" w:space="0" w:color="auto"/>
                            <w:left w:val="none" w:sz="0" w:space="0" w:color="auto"/>
                            <w:bottom w:val="none" w:sz="0" w:space="0" w:color="auto"/>
                            <w:right w:val="none" w:sz="0" w:space="0" w:color="auto"/>
                          </w:divBdr>
                        </w:div>
                        <w:div w:id="126969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062503">
      <w:bodyDiv w:val="1"/>
      <w:marLeft w:val="0"/>
      <w:marRight w:val="0"/>
      <w:marTop w:val="0"/>
      <w:marBottom w:val="0"/>
      <w:divBdr>
        <w:top w:val="none" w:sz="0" w:space="0" w:color="auto"/>
        <w:left w:val="none" w:sz="0" w:space="0" w:color="auto"/>
        <w:bottom w:val="none" w:sz="0" w:space="0" w:color="auto"/>
        <w:right w:val="none" w:sz="0" w:space="0" w:color="auto"/>
      </w:divBdr>
    </w:div>
    <w:div w:id="85225911">
      <w:bodyDiv w:val="1"/>
      <w:marLeft w:val="0"/>
      <w:marRight w:val="0"/>
      <w:marTop w:val="0"/>
      <w:marBottom w:val="0"/>
      <w:divBdr>
        <w:top w:val="none" w:sz="0" w:space="0" w:color="auto"/>
        <w:left w:val="none" w:sz="0" w:space="0" w:color="auto"/>
        <w:bottom w:val="none" w:sz="0" w:space="0" w:color="auto"/>
        <w:right w:val="none" w:sz="0" w:space="0" w:color="auto"/>
      </w:divBdr>
    </w:div>
    <w:div w:id="120849877">
      <w:bodyDiv w:val="1"/>
      <w:marLeft w:val="0"/>
      <w:marRight w:val="0"/>
      <w:marTop w:val="0"/>
      <w:marBottom w:val="0"/>
      <w:divBdr>
        <w:top w:val="none" w:sz="0" w:space="0" w:color="auto"/>
        <w:left w:val="none" w:sz="0" w:space="0" w:color="auto"/>
        <w:bottom w:val="none" w:sz="0" w:space="0" w:color="auto"/>
        <w:right w:val="none" w:sz="0" w:space="0" w:color="auto"/>
      </w:divBdr>
    </w:div>
    <w:div w:id="137190113">
      <w:bodyDiv w:val="1"/>
      <w:marLeft w:val="0"/>
      <w:marRight w:val="0"/>
      <w:marTop w:val="0"/>
      <w:marBottom w:val="0"/>
      <w:divBdr>
        <w:top w:val="none" w:sz="0" w:space="0" w:color="auto"/>
        <w:left w:val="none" w:sz="0" w:space="0" w:color="auto"/>
        <w:bottom w:val="none" w:sz="0" w:space="0" w:color="auto"/>
        <w:right w:val="none" w:sz="0" w:space="0" w:color="auto"/>
      </w:divBdr>
    </w:div>
    <w:div w:id="182017628">
      <w:bodyDiv w:val="1"/>
      <w:marLeft w:val="0"/>
      <w:marRight w:val="0"/>
      <w:marTop w:val="0"/>
      <w:marBottom w:val="0"/>
      <w:divBdr>
        <w:top w:val="none" w:sz="0" w:space="0" w:color="auto"/>
        <w:left w:val="none" w:sz="0" w:space="0" w:color="auto"/>
        <w:bottom w:val="none" w:sz="0" w:space="0" w:color="auto"/>
        <w:right w:val="none" w:sz="0" w:space="0" w:color="auto"/>
      </w:divBdr>
    </w:div>
    <w:div w:id="183398325">
      <w:bodyDiv w:val="1"/>
      <w:marLeft w:val="0"/>
      <w:marRight w:val="0"/>
      <w:marTop w:val="0"/>
      <w:marBottom w:val="0"/>
      <w:divBdr>
        <w:top w:val="none" w:sz="0" w:space="0" w:color="auto"/>
        <w:left w:val="none" w:sz="0" w:space="0" w:color="auto"/>
        <w:bottom w:val="none" w:sz="0" w:space="0" w:color="auto"/>
        <w:right w:val="none" w:sz="0" w:space="0" w:color="auto"/>
      </w:divBdr>
    </w:div>
    <w:div w:id="233513956">
      <w:bodyDiv w:val="1"/>
      <w:marLeft w:val="0"/>
      <w:marRight w:val="0"/>
      <w:marTop w:val="0"/>
      <w:marBottom w:val="0"/>
      <w:divBdr>
        <w:top w:val="none" w:sz="0" w:space="0" w:color="auto"/>
        <w:left w:val="none" w:sz="0" w:space="0" w:color="auto"/>
        <w:bottom w:val="none" w:sz="0" w:space="0" w:color="auto"/>
        <w:right w:val="none" w:sz="0" w:space="0" w:color="auto"/>
      </w:divBdr>
    </w:div>
    <w:div w:id="271210219">
      <w:bodyDiv w:val="1"/>
      <w:marLeft w:val="0"/>
      <w:marRight w:val="0"/>
      <w:marTop w:val="0"/>
      <w:marBottom w:val="0"/>
      <w:divBdr>
        <w:top w:val="none" w:sz="0" w:space="0" w:color="auto"/>
        <w:left w:val="none" w:sz="0" w:space="0" w:color="auto"/>
        <w:bottom w:val="none" w:sz="0" w:space="0" w:color="auto"/>
        <w:right w:val="none" w:sz="0" w:space="0" w:color="auto"/>
      </w:divBdr>
      <w:divsChild>
        <w:div w:id="4140449">
          <w:marLeft w:val="0"/>
          <w:marRight w:val="0"/>
          <w:marTop w:val="0"/>
          <w:marBottom w:val="0"/>
          <w:divBdr>
            <w:top w:val="none" w:sz="0" w:space="0" w:color="auto"/>
            <w:left w:val="none" w:sz="0" w:space="0" w:color="auto"/>
            <w:bottom w:val="none" w:sz="0" w:space="0" w:color="auto"/>
            <w:right w:val="none" w:sz="0" w:space="0" w:color="auto"/>
          </w:divBdr>
        </w:div>
      </w:divsChild>
    </w:div>
    <w:div w:id="361518376">
      <w:bodyDiv w:val="1"/>
      <w:marLeft w:val="0"/>
      <w:marRight w:val="0"/>
      <w:marTop w:val="0"/>
      <w:marBottom w:val="0"/>
      <w:divBdr>
        <w:top w:val="none" w:sz="0" w:space="0" w:color="auto"/>
        <w:left w:val="none" w:sz="0" w:space="0" w:color="auto"/>
        <w:bottom w:val="none" w:sz="0" w:space="0" w:color="auto"/>
        <w:right w:val="none" w:sz="0" w:space="0" w:color="auto"/>
      </w:divBdr>
    </w:div>
    <w:div w:id="421873007">
      <w:bodyDiv w:val="1"/>
      <w:marLeft w:val="0"/>
      <w:marRight w:val="0"/>
      <w:marTop w:val="0"/>
      <w:marBottom w:val="0"/>
      <w:divBdr>
        <w:top w:val="none" w:sz="0" w:space="0" w:color="auto"/>
        <w:left w:val="none" w:sz="0" w:space="0" w:color="auto"/>
        <w:bottom w:val="none" w:sz="0" w:space="0" w:color="auto"/>
        <w:right w:val="none" w:sz="0" w:space="0" w:color="auto"/>
      </w:divBdr>
    </w:div>
    <w:div w:id="423038900">
      <w:bodyDiv w:val="1"/>
      <w:marLeft w:val="0"/>
      <w:marRight w:val="0"/>
      <w:marTop w:val="0"/>
      <w:marBottom w:val="0"/>
      <w:divBdr>
        <w:top w:val="none" w:sz="0" w:space="0" w:color="auto"/>
        <w:left w:val="none" w:sz="0" w:space="0" w:color="auto"/>
        <w:bottom w:val="none" w:sz="0" w:space="0" w:color="auto"/>
        <w:right w:val="none" w:sz="0" w:space="0" w:color="auto"/>
      </w:divBdr>
      <w:divsChild>
        <w:div w:id="658652605">
          <w:marLeft w:val="0"/>
          <w:marRight w:val="0"/>
          <w:marTop w:val="0"/>
          <w:marBottom w:val="0"/>
          <w:divBdr>
            <w:top w:val="none" w:sz="0" w:space="0" w:color="auto"/>
            <w:left w:val="none" w:sz="0" w:space="0" w:color="auto"/>
            <w:bottom w:val="none" w:sz="0" w:space="0" w:color="auto"/>
            <w:right w:val="none" w:sz="0" w:space="0" w:color="auto"/>
          </w:divBdr>
        </w:div>
      </w:divsChild>
    </w:div>
    <w:div w:id="483476292">
      <w:bodyDiv w:val="1"/>
      <w:marLeft w:val="0"/>
      <w:marRight w:val="0"/>
      <w:marTop w:val="0"/>
      <w:marBottom w:val="0"/>
      <w:divBdr>
        <w:top w:val="none" w:sz="0" w:space="0" w:color="auto"/>
        <w:left w:val="none" w:sz="0" w:space="0" w:color="auto"/>
        <w:bottom w:val="none" w:sz="0" w:space="0" w:color="auto"/>
        <w:right w:val="none" w:sz="0" w:space="0" w:color="auto"/>
      </w:divBdr>
      <w:divsChild>
        <w:div w:id="1379356905">
          <w:marLeft w:val="0"/>
          <w:marRight w:val="0"/>
          <w:marTop w:val="0"/>
          <w:marBottom w:val="0"/>
          <w:divBdr>
            <w:top w:val="none" w:sz="0" w:space="0" w:color="auto"/>
            <w:left w:val="none" w:sz="0" w:space="0" w:color="auto"/>
            <w:bottom w:val="none" w:sz="0" w:space="0" w:color="auto"/>
            <w:right w:val="none" w:sz="0" w:space="0" w:color="auto"/>
          </w:divBdr>
        </w:div>
      </w:divsChild>
    </w:div>
    <w:div w:id="490876292">
      <w:bodyDiv w:val="1"/>
      <w:marLeft w:val="0"/>
      <w:marRight w:val="0"/>
      <w:marTop w:val="0"/>
      <w:marBottom w:val="0"/>
      <w:divBdr>
        <w:top w:val="none" w:sz="0" w:space="0" w:color="auto"/>
        <w:left w:val="none" w:sz="0" w:space="0" w:color="auto"/>
        <w:bottom w:val="none" w:sz="0" w:space="0" w:color="auto"/>
        <w:right w:val="none" w:sz="0" w:space="0" w:color="auto"/>
      </w:divBdr>
      <w:divsChild>
        <w:div w:id="6254777">
          <w:marLeft w:val="0"/>
          <w:marRight w:val="0"/>
          <w:marTop w:val="150"/>
          <w:marBottom w:val="0"/>
          <w:divBdr>
            <w:top w:val="none" w:sz="0" w:space="0" w:color="auto"/>
            <w:left w:val="none" w:sz="0" w:space="0" w:color="auto"/>
            <w:bottom w:val="none" w:sz="0" w:space="0" w:color="auto"/>
            <w:right w:val="none" w:sz="0" w:space="0" w:color="auto"/>
          </w:divBdr>
          <w:divsChild>
            <w:div w:id="47921049">
              <w:marLeft w:val="0"/>
              <w:marRight w:val="0"/>
              <w:marTop w:val="0"/>
              <w:marBottom w:val="0"/>
              <w:divBdr>
                <w:top w:val="single" w:sz="6" w:space="0" w:color="C1D1DA"/>
                <w:left w:val="single" w:sz="6" w:space="0" w:color="C1D1DA"/>
                <w:bottom w:val="none" w:sz="0" w:space="0" w:color="auto"/>
                <w:right w:val="single" w:sz="6" w:space="0" w:color="C1D1DA"/>
              </w:divBdr>
              <w:divsChild>
                <w:div w:id="1019233812">
                  <w:marLeft w:val="0"/>
                  <w:marRight w:val="0"/>
                  <w:marTop w:val="100"/>
                  <w:marBottom w:val="100"/>
                  <w:divBdr>
                    <w:top w:val="none" w:sz="0" w:space="0" w:color="auto"/>
                    <w:left w:val="none" w:sz="0" w:space="0" w:color="auto"/>
                    <w:bottom w:val="none" w:sz="0" w:space="0" w:color="auto"/>
                    <w:right w:val="none" w:sz="0" w:space="0" w:color="auto"/>
                  </w:divBdr>
                  <w:divsChild>
                    <w:div w:id="607469507">
                      <w:marLeft w:val="225"/>
                      <w:marRight w:val="225"/>
                      <w:marTop w:val="225"/>
                      <w:marBottom w:val="225"/>
                      <w:divBdr>
                        <w:top w:val="none" w:sz="0" w:space="0" w:color="auto"/>
                        <w:left w:val="none" w:sz="0" w:space="0" w:color="auto"/>
                        <w:bottom w:val="none" w:sz="0" w:space="0" w:color="auto"/>
                        <w:right w:val="none" w:sz="0" w:space="0" w:color="auto"/>
                      </w:divBdr>
                      <w:divsChild>
                        <w:div w:id="759719753">
                          <w:marLeft w:val="0"/>
                          <w:marRight w:val="0"/>
                          <w:marTop w:val="240"/>
                          <w:marBottom w:val="0"/>
                          <w:divBdr>
                            <w:top w:val="none" w:sz="0" w:space="0" w:color="auto"/>
                            <w:left w:val="none" w:sz="0" w:space="0" w:color="auto"/>
                            <w:bottom w:val="none" w:sz="0" w:space="0" w:color="auto"/>
                            <w:right w:val="none" w:sz="0" w:space="0" w:color="auto"/>
                          </w:divBdr>
                        </w:div>
                        <w:div w:id="274210882">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3350537">
      <w:bodyDiv w:val="1"/>
      <w:marLeft w:val="0"/>
      <w:marRight w:val="0"/>
      <w:marTop w:val="0"/>
      <w:marBottom w:val="0"/>
      <w:divBdr>
        <w:top w:val="none" w:sz="0" w:space="0" w:color="auto"/>
        <w:left w:val="none" w:sz="0" w:space="0" w:color="auto"/>
        <w:bottom w:val="none" w:sz="0" w:space="0" w:color="auto"/>
        <w:right w:val="none" w:sz="0" w:space="0" w:color="auto"/>
      </w:divBdr>
    </w:div>
    <w:div w:id="538585935">
      <w:bodyDiv w:val="1"/>
      <w:marLeft w:val="0"/>
      <w:marRight w:val="0"/>
      <w:marTop w:val="0"/>
      <w:marBottom w:val="0"/>
      <w:divBdr>
        <w:top w:val="none" w:sz="0" w:space="0" w:color="auto"/>
        <w:left w:val="none" w:sz="0" w:space="0" w:color="auto"/>
        <w:bottom w:val="none" w:sz="0" w:space="0" w:color="auto"/>
        <w:right w:val="none" w:sz="0" w:space="0" w:color="auto"/>
      </w:divBdr>
      <w:divsChild>
        <w:div w:id="1247571052">
          <w:marLeft w:val="0"/>
          <w:marRight w:val="0"/>
          <w:marTop w:val="0"/>
          <w:marBottom w:val="0"/>
          <w:divBdr>
            <w:top w:val="none" w:sz="0" w:space="0" w:color="auto"/>
            <w:left w:val="none" w:sz="0" w:space="0" w:color="auto"/>
            <w:bottom w:val="none" w:sz="0" w:space="0" w:color="auto"/>
            <w:right w:val="none" w:sz="0" w:space="0" w:color="auto"/>
          </w:divBdr>
          <w:divsChild>
            <w:div w:id="750077985">
              <w:marLeft w:val="0"/>
              <w:marRight w:val="0"/>
              <w:marTop w:val="0"/>
              <w:marBottom w:val="0"/>
              <w:divBdr>
                <w:top w:val="single" w:sz="24" w:space="0" w:color="000000"/>
                <w:left w:val="none" w:sz="0" w:space="0" w:color="auto"/>
                <w:bottom w:val="none" w:sz="0" w:space="0" w:color="auto"/>
                <w:right w:val="none" w:sz="0" w:space="0" w:color="auto"/>
              </w:divBdr>
              <w:divsChild>
                <w:div w:id="202578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1908361">
      <w:bodyDiv w:val="1"/>
      <w:marLeft w:val="0"/>
      <w:marRight w:val="0"/>
      <w:marTop w:val="0"/>
      <w:marBottom w:val="0"/>
      <w:divBdr>
        <w:top w:val="none" w:sz="0" w:space="0" w:color="auto"/>
        <w:left w:val="none" w:sz="0" w:space="0" w:color="auto"/>
        <w:bottom w:val="none" w:sz="0" w:space="0" w:color="auto"/>
        <w:right w:val="none" w:sz="0" w:space="0" w:color="auto"/>
      </w:divBdr>
    </w:div>
    <w:div w:id="566113001">
      <w:bodyDiv w:val="1"/>
      <w:marLeft w:val="0"/>
      <w:marRight w:val="0"/>
      <w:marTop w:val="0"/>
      <w:marBottom w:val="0"/>
      <w:divBdr>
        <w:top w:val="none" w:sz="0" w:space="0" w:color="auto"/>
        <w:left w:val="none" w:sz="0" w:space="0" w:color="auto"/>
        <w:bottom w:val="none" w:sz="0" w:space="0" w:color="auto"/>
        <w:right w:val="none" w:sz="0" w:space="0" w:color="auto"/>
      </w:divBdr>
    </w:div>
    <w:div w:id="582253528">
      <w:bodyDiv w:val="1"/>
      <w:marLeft w:val="0"/>
      <w:marRight w:val="0"/>
      <w:marTop w:val="0"/>
      <w:marBottom w:val="0"/>
      <w:divBdr>
        <w:top w:val="none" w:sz="0" w:space="0" w:color="auto"/>
        <w:left w:val="none" w:sz="0" w:space="0" w:color="auto"/>
        <w:bottom w:val="none" w:sz="0" w:space="0" w:color="auto"/>
        <w:right w:val="none" w:sz="0" w:space="0" w:color="auto"/>
      </w:divBdr>
    </w:div>
    <w:div w:id="591357708">
      <w:bodyDiv w:val="1"/>
      <w:marLeft w:val="0"/>
      <w:marRight w:val="0"/>
      <w:marTop w:val="0"/>
      <w:marBottom w:val="0"/>
      <w:divBdr>
        <w:top w:val="none" w:sz="0" w:space="0" w:color="auto"/>
        <w:left w:val="none" w:sz="0" w:space="0" w:color="auto"/>
        <w:bottom w:val="none" w:sz="0" w:space="0" w:color="auto"/>
        <w:right w:val="none" w:sz="0" w:space="0" w:color="auto"/>
      </w:divBdr>
    </w:div>
    <w:div w:id="653992015">
      <w:bodyDiv w:val="1"/>
      <w:marLeft w:val="0"/>
      <w:marRight w:val="0"/>
      <w:marTop w:val="0"/>
      <w:marBottom w:val="0"/>
      <w:divBdr>
        <w:top w:val="none" w:sz="0" w:space="0" w:color="auto"/>
        <w:left w:val="none" w:sz="0" w:space="0" w:color="auto"/>
        <w:bottom w:val="none" w:sz="0" w:space="0" w:color="auto"/>
        <w:right w:val="none" w:sz="0" w:space="0" w:color="auto"/>
      </w:divBdr>
    </w:div>
    <w:div w:id="671109560">
      <w:bodyDiv w:val="1"/>
      <w:marLeft w:val="0"/>
      <w:marRight w:val="0"/>
      <w:marTop w:val="0"/>
      <w:marBottom w:val="0"/>
      <w:divBdr>
        <w:top w:val="none" w:sz="0" w:space="0" w:color="auto"/>
        <w:left w:val="none" w:sz="0" w:space="0" w:color="auto"/>
        <w:bottom w:val="none" w:sz="0" w:space="0" w:color="auto"/>
        <w:right w:val="none" w:sz="0" w:space="0" w:color="auto"/>
      </w:divBdr>
      <w:divsChild>
        <w:div w:id="1581404674">
          <w:marLeft w:val="0"/>
          <w:marRight w:val="0"/>
          <w:marTop w:val="0"/>
          <w:marBottom w:val="0"/>
          <w:divBdr>
            <w:top w:val="none" w:sz="0" w:space="0" w:color="auto"/>
            <w:left w:val="none" w:sz="0" w:space="0" w:color="auto"/>
            <w:bottom w:val="none" w:sz="0" w:space="0" w:color="auto"/>
            <w:right w:val="none" w:sz="0" w:space="0" w:color="auto"/>
          </w:divBdr>
        </w:div>
      </w:divsChild>
    </w:div>
    <w:div w:id="691299640">
      <w:bodyDiv w:val="1"/>
      <w:marLeft w:val="0"/>
      <w:marRight w:val="0"/>
      <w:marTop w:val="0"/>
      <w:marBottom w:val="0"/>
      <w:divBdr>
        <w:top w:val="none" w:sz="0" w:space="0" w:color="auto"/>
        <w:left w:val="none" w:sz="0" w:space="0" w:color="auto"/>
        <w:bottom w:val="none" w:sz="0" w:space="0" w:color="auto"/>
        <w:right w:val="none" w:sz="0" w:space="0" w:color="auto"/>
      </w:divBdr>
    </w:div>
    <w:div w:id="694889143">
      <w:bodyDiv w:val="1"/>
      <w:marLeft w:val="0"/>
      <w:marRight w:val="0"/>
      <w:marTop w:val="0"/>
      <w:marBottom w:val="0"/>
      <w:divBdr>
        <w:top w:val="none" w:sz="0" w:space="0" w:color="auto"/>
        <w:left w:val="none" w:sz="0" w:space="0" w:color="auto"/>
        <w:bottom w:val="none" w:sz="0" w:space="0" w:color="auto"/>
        <w:right w:val="none" w:sz="0" w:space="0" w:color="auto"/>
      </w:divBdr>
      <w:divsChild>
        <w:div w:id="1650473108">
          <w:marLeft w:val="0"/>
          <w:marRight w:val="0"/>
          <w:marTop w:val="450"/>
          <w:marBottom w:val="0"/>
          <w:divBdr>
            <w:top w:val="none" w:sz="0" w:space="0" w:color="auto"/>
            <w:left w:val="none" w:sz="0" w:space="0" w:color="auto"/>
            <w:bottom w:val="none" w:sz="0" w:space="0" w:color="auto"/>
            <w:right w:val="none" w:sz="0" w:space="0" w:color="auto"/>
          </w:divBdr>
          <w:divsChild>
            <w:div w:id="546794222">
              <w:marLeft w:val="0"/>
              <w:marRight w:val="0"/>
              <w:marTop w:val="0"/>
              <w:marBottom w:val="0"/>
              <w:divBdr>
                <w:top w:val="none" w:sz="0" w:space="0" w:color="auto"/>
                <w:left w:val="none" w:sz="0" w:space="0" w:color="auto"/>
                <w:bottom w:val="none" w:sz="0" w:space="0" w:color="auto"/>
                <w:right w:val="none" w:sz="0" w:space="0" w:color="auto"/>
              </w:divBdr>
              <w:divsChild>
                <w:div w:id="350763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243920">
      <w:bodyDiv w:val="1"/>
      <w:marLeft w:val="0"/>
      <w:marRight w:val="0"/>
      <w:marTop w:val="0"/>
      <w:marBottom w:val="0"/>
      <w:divBdr>
        <w:top w:val="none" w:sz="0" w:space="0" w:color="auto"/>
        <w:left w:val="none" w:sz="0" w:space="0" w:color="auto"/>
        <w:bottom w:val="none" w:sz="0" w:space="0" w:color="auto"/>
        <w:right w:val="none" w:sz="0" w:space="0" w:color="auto"/>
      </w:divBdr>
    </w:div>
    <w:div w:id="731077376">
      <w:bodyDiv w:val="1"/>
      <w:marLeft w:val="0"/>
      <w:marRight w:val="0"/>
      <w:marTop w:val="0"/>
      <w:marBottom w:val="0"/>
      <w:divBdr>
        <w:top w:val="none" w:sz="0" w:space="0" w:color="auto"/>
        <w:left w:val="none" w:sz="0" w:space="0" w:color="auto"/>
        <w:bottom w:val="none" w:sz="0" w:space="0" w:color="auto"/>
        <w:right w:val="none" w:sz="0" w:space="0" w:color="auto"/>
      </w:divBdr>
      <w:divsChild>
        <w:div w:id="1992828958">
          <w:marLeft w:val="0"/>
          <w:marRight w:val="0"/>
          <w:marTop w:val="0"/>
          <w:marBottom w:val="0"/>
          <w:divBdr>
            <w:top w:val="none" w:sz="0" w:space="0" w:color="auto"/>
            <w:left w:val="none" w:sz="0" w:space="0" w:color="auto"/>
            <w:bottom w:val="none" w:sz="0" w:space="0" w:color="auto"/>
            <w:right w:val="none" w:sz="0" w:space="0" w:color="auto"/>
          </w:divBdr>
        </w:div>
      </w:divsChild>
    </w:div>
    <w:div w:id="745538587">
      <w:bodyDiv w:val="1"/>
      <w:marLeft w:val="0"/>
      <w:marRight w:val="0"/>
      <w:marTop w:val="0"/>
      <w:marBottom w:val="0"/>
      <w:divBdr>
        <w:top w:val="none" w:sz="0" w:space="0" w:color="auto"/>
        <w:left w:val="none" w:sz="0" w:space="0" w:color="auto"/>
        <w:bottom w:val="none" w:sz="0" w:space="0" w:color="auto"/>
        <w:right w:val="none" w:sz="0" w:space="0" w:color="auto"/>
      </w:divBdr>
    </w:div>
    <w:div w:id="757598768">
      <w:bodyDiv w:val="1"/>
      <w:marLeft w:val="0"/>
      <w:marRight w:val="0"/>
      <w:marTop w:val="0"/>
      <w:marBottom w:val="0"/>
      <w:divBdr>
        <w:top w:val="none" w:sz="0" w:space="0" w:color="auto"/>
        <w:left w:val="none" w:sz="0" w:space="0" w:color="auto"/>
        <w:bottom w:val="none" w:sz="0" w:space="0" w:color="auto"/>
        <w:right w:val="none" w:sz="0" w:space="0" w:color="auto"/>
      </w:divBdr>
    </w:div>
    <w:div w:id="796871303">
      <w:bodyDiv w:val="1"/>
      <w:marLeft w:val="0"/>
      <w:marRight w:val="0"/>
      <w:marTop w:val="0"/>
      <w:marBottom w:val="0"/>
      <w:divBdr>
        <w:top w:val="none" w:sz="0" w:space="0" w:color="auto"/>
        <w:left w:val="none" w:sz="0" w:space="0" w:color="auto"/>
        <w:bottom w:val="none" w:sz="0" w:space="0" w:color="auto"/>
        <w:right w:val="none" w:sz="0" w:space="0" w:color="auto"/>
      </w:divBdr>
      <w:divsChild>
        <w:div w:id="537743427">
          <w:marLeft w:val="0"/>
          <w:marRight w:val="0"/>
          <w:marTop w:val="0"/>
          <w:marBottom w:val="0"/>
          <w:divBdr>
            <w:top w:val="none" w:sz="0" w:space="0" w:color="auto"/>
            <w:left w:val="none" w:sz="0" w:space="0" w:color="auto"/>
            <w:bottom w:val="none" w:sz="0" w:space="0" w:color="auto"/>
            <w:right w:val="none" w:sz="0" w:space="0" w:color="auto"/>
          </w:divBdr>
        </w:div>
      </w:divsChild>
    </w:div>
    <w:div w:id="858587749">
      <w:bodyDiv w:val="1"/>
      <w:marLeft w:val="0"/>
      <w:marRight w:val="0"/>
      <w:marTop w:val="0"/>
      <w:marBottom w:val="0"/>
      <w:divBdr>
        <w:top w:val="none" w:sz="0" w:space="0" w:color="auto"/>
        <w:left w:val="none" w:sz="0" w:space="0" w:color="auto"/>
        <w:bottom w:val="none" w:sz="0" w:space="0" w:color="auto"/>
        <w:right w:val="none" w:sz="0" w:space="0" w:color="auto"/>
      </w:divBdr>
    </w:div>
    <w:div w:id="879055232">
      <w:bodyDiv w:val="1"/>
      <w:marLeft w:val="0"/>
      <w:marRight w:val="0"/>
      <w:marTop w:val="0"/>
      <w:marBottom w:val="0"/>
      <w:divBdr>
        <w:top w:val="none" w:sz="0" w:space="0" w:color="auto"/>
        <w:left w:val="none" w:sz="0" w:space="0" w:color="auto"/>
        <w:bottom w:val="none" w:sz="0" w:space="0" w:color="auto"/>
        <w:right w:val="none" w:sz="0" w:space="0" w:color="auto"/>
      </w:divBdr>
      <w:divsChild>
        <w:div w:id="1715305442">
          <w:marLeft w:val="0"/>
          <w:marRight w:val="0"/>
          <w:marTop w:val="0"/>
          <w:marBottom w:val="0"/>
          <w:divBdr>
            <w:top w:val="none" w:sz="0" w:space="0" w:color="auto"/>
            <w:left w:val="none" w:sz="0" w:space="0" w:color="auto"/>
            <w:bottom w:val="none" w:sz="0" w:space="0" w:color="auto"/>
            <w:right w:val="none" w:sz="0" w:space="0" w:color="auto"/>
          </w:divBdr>
        </w:div>
      </w:divsChild>
    </w:div>
    <w:div w:id="887648628">
      <w:bodyDiv w:val="1"/>
      <w:marLeft w:val="0"/>
      <w:marRight w:val="0"/>
      <w:marTop w:val="0"/>
      <w:marBottom w:val="0"/>
      <w:divBdr>
        <w:top w:val="none" w:sz="0" w:space="0" w:color="auto"/>
        <w:left w:val="none" w:sz="0" w:space="0" w:color="auto"/>
        <w:bottom w:val="none" w:sz="0" w:space="0" w:color="auto"/>
        <w:right w:val="none" w:sz="0" w:space="0" w:color="auto"/>
      </w:divBdr>
    </w:div>
    <w:div w:id="898787179">
      <w:bodyDiv w:val="1"/>
      <w:marLeft w:val="0"/>
      <w:marRight w:val="0"/>
      <w:marTop w:val="0"/>
      <w:marBottom w:val="0"/>
      <w:divBdr>
        <w:top w:val="none" w:sz="0" w:space="0" w:color="auto"/>
        <w:left w:val="none" w:sz="0" w:space="0" w:color="auto"/>
        <w:bottom w:val="none" w:sz="0" w:space="0" w:color="auto"/>
        <w:right w:val="none" w:sz="0" w:space="0" w:color="auto"/>
      </w:divBdr>
    </w:div>
    <w:div w:id="1019044978">
      <w:bodyDiv w:val="1"/>
      <w:marLeft w:val="0"/>
      <w:marRight w:val="0"/>
      <w:marTop w:val="0"/>
      <w:marBottom w:val="0"/>
      <w:divBdr>
        <w:top w:val="none" w:sz="0" w:space="0" w:color="auto"/>
        <w:left w:val="none" w:sz="0" w:space="0" w:color="auto"/>
        <w:bottom w:val="none" w:sz="0" w:space="0" w:color="auto"/>
        <w:right w:val="none" w:sz="0" w:space="0" w:color="auto"/>
      </w:divBdr>
    </w:div>
    <w:div w:id="1024675330">
      <w:bodyDiv w:val="1"/>
      <w:marLeft w:val="0"/>
      <w:marRight w:val="0"/>
      <w:marTop w:val="0"/>
      <w:marBottom w:val="0"/>
      <w:divBdr>
        <w:top w:val="none" w:sz="0" w:space="0" w:color="auto"/>
        <w:left w:val="none" w:sz="0" w:space="0" w:color="auto"/>
        <w:bottom w:val="none" w:sz="0" w:space="0" w:color="auto"/>
        <w:right w:val="none" w:sz="0" w:space="0" w:color="auto"/>
      </w:divBdr>
    </w:div>
    <w:div w:id="1028870323">
      <w:bodyDiv w:val="1"/>
      <w:marLeft w:val="0"/>
      <w:marRight w:val="0"/>
      <w:marTop w:val="0"/>
      <w:marBottom w:val="0"/>
      <w:divBdr>
        <w:top w:val="none" w:sz="0" w:space="0" w:color="auto"/>
        <w:left w:val="none" w:sz="0" w:space="0" w:color="auto"/>
        <w:bottom w:val="none" w:sz="0" w:space="0" w:color="auto"/>
        <w:right w:val="none" w:sz="0" w:space="0" w:color="auto"/>
      </w:divBdr>
    </w:div>
    <w:div w:id="1030496285">
      <w:bodyDiv w:val="1"/>
      <w:marLeft w:val="0"/>
      <w:marRight w:val="0"/>
      <w:marTop w:val="0"/>
      <w:marBottom w:val="0"/>
      <w:divBdr>
        <w:top w:val="none" w:sz="0" w:space="0" w:color="auto"/>
        <w:left w:val="none" w:sz="0" w:space="0" w:color="auto"/>
        <w:bottom w:val="none" w:sz="0" w:space="0" w:color="auto"/>
        <w:right w:val="none" w:sz="0" w:space="0" w:color="auto"/>
      </w:divBdr>
    </w:div>
    <w:div w:id="1090586615">
      <w:bodyDiv w:val="1"/>
      <w:marLeft w:val="0"/>
      <w:marRight w:val="0"/>
      <w:marTop w:val="0"/>
      <w:marBottom w:val="0"/>
      <w:divBdr>
        <w:top w:val="none" w:sz="0" w:space="0" w:color="auto"/>
        <w:left w:val="none" w:sz="0" w:space="0" w:color="auto"/>
        <w:bottom w:val="none" w:sz="0" w:space="0" w:color="auto"/>
        <w:right w:val="none" w:sz="0" w:space="0" w:color="auto"/>
      </w:divBdr>
    </w:div>
    <w:div w:id="1107431637">
      <w:bodyDiv w:val="1"/>
      <w:marLeft w:val="0"/>
      <w:marRight w:val="0"/>
      <w:marTop w:val="0"/>
      <w:marBottom w:val="0"/>
      <w:divBdr>
        <w:top w:val="none" w:sz="0" w:space="0" w:color="auto"/>
        <w:left w:val="none" w:sz="0" w:space="0" w:color="auto"/>
        <w:bottom w:val="none" w:sz="0" w:space="0" w:color="auto"/>
        <w:right w:val="none" w:sz="0" w:space="0" w:color="auto"/>
      </w:divBdr>
    </w:div>
    <w:div w:id="1132820788">
      <w:bodyDiv w:val="1"/>
      <w:marLeft w:val="0"/>
      <w:marRight w:val="0"/>
      <w:marTop w:val="0"/>
      <w:marBottom w:val="0"/>
      <w:divBdr>
        <w:top w:val="none" w:sz="0" w:space="0" w:color="auto"/>
        <w:left w:val="none" w:sz="0" w:space="0" w:color="auto"/>
        <w:bottom w:val="none" w:sz="0" w:space="0" w:color="auto"/>
        <w:right w:val="none" w:sz="0" w:space="0" w:color="auto"/>
      </w:divBdr>
    </w:div>
    <w:div w:id="1152678538">
      <w:bodyDiv w:val="1"/>
      <w:marLeft w:val="0"/>
      <w:marRight w:val="0"/>
      <w:marTop w:val="0"/>
      <w:marBottom w:val="0"/>
      <w:divBdr>
        <w:top w:val="none" w:sz="0" w:space="0" w:color="auto"/>
        <w:left w:val="none" w:sz="0" w:space="0" w:color="auto"/>
        <w:bottom w:val="none" w:sz="0" w:space="0" w:color="auto"/>
        <w:right w:val="none" w:sz="0" w:space="0" w:color="auto"/>
      </w:divBdr>
      <w:divsChild>
        <w:div w:id="856427909">
          <w:marLeft w:val="0"/>
          <w:marRight w:val="0"/>
          <w:marTop w:val="0"/>
          <w:marBottom w:val="0"/>
          <w:divBdr>
            <w:top w:val="none" w:sz="0" w:space="0" w:color="auto"/>
            <w:left w:val="none" w:sz="0" w:space="0" w:color="auto"/>
            <w:bottom w:val="none" w:sz="0" w:space="0" w:color="auto"/>
            <w:right w:val="none" w:sz="0" w:space="0" w:color="auto"/>
          </w:divBdr>
        </w:div>
      </w:divsChild>
    </w:div>
    <w:div w:id="1215195987">
      <w:bodyDiv w:val="1"/>
      <w:marLeft w:val="0"/>
      <w:marRight w:val="0"/>
      <w:marTop w:val="0"/>
      <w:marBottom w:val="0"/>
      <w:divBdr>
        <w:top w:val="none" w:sz="0" w:space="0" w:color="auto"/>
        <w:left w:val="none" w:sz="0" w:space="0" w:color="auto"/>
        <w:bottom w:val="none" w:sz="0" w:space="0" w:color="auto"/>
        <w:right w:val="none" w:sz="0" w:space="0" w:color="auto"/>
      </w:divBdr>
    </w:div>
    <w:div w:id="1220630237">
      <w:bodyDiv w:val="1"/>
      <w:marLeft w:val="0"/>
      <w:marRight w:val="0"/>
      <w:marTop w:val="0"/>
      <w:marBottom w:val="0"/>
      <w:divBdr>
        <w:top w:val="none" w:sz="0" w:space="0" w:color="auto"/>
        <w:left w:val="none" w:sz="0" w:space="0" w:color="auto"/>
        <w:bottom w:val="none" w:sz="0" w:space="0" w:color="auto"/>
        <w:right w:val="none" w:sz="0" w:space="0" w:color="auto"/>
      </w:divBdr>
      <w:divsChild>
        <w:div w:id="2126461654">
          <w:marLeft w:val="0"/>
          <w:marRight w:val="0"/>
          <w:marTop w:val="0"/>
          <w:marBottom w:val="0"/>
          <w:divBdr>
            <w:top w:val="none" w:sz="0" w:space="0" w:color="auto"/>
            <w:left w:val="none" w:sz="0" w:space="0" w:color="auto"/>
            <w:bottom w:val="none" w:sz="0" w:space="0" w:color="auto"/>
            <w:right w:val="none" w:sz="0" w:space="0" w:color="auto"/>
          </w:divBdr>
        </w:div>
      </w:divsChild>
    </w:div>
    <w:div w:id="1223759522">
      <w:bodyDiv w:val="1"/>
      <w:marLeft w:val="0"/>
      <w:marRight w:val="0"/>
      <w:marTop w:val="0"/>
      <w:marBottom w:val="0"/>
      <w:divBdr>
        <w:top w:val="none" w:sz="0" w:space="0" w:color="auto"/>
        <w:left w:val="none" w:sz="0" w:space="0" w:color="auto"/>
        <w:bottom w:val="none" w:sz="0" w:space="0" w:color="auto"/>
        <w:right w:val="none" w:sz="0" w:space="0" w:color="auto"/>
      </w:divBdr>
    </w:div>
    <w:div w:id="1251112972">
      <w:bodyDiv w:val="1"/>
      <w:marLeft w:val="0"/>
      <w:marRight w:val="0"/>
      <w:marTop w:val="0"/>
      <w:marBottom w:val="0"/>
      <w:divBdr>
        <w:top w:val="none" w:sz="0" w:space="0" w:color="auto"/>
        <w:left w:val="none" w:sz="0" w:space="0" w:color="auto"/>
        <w:bottom w:val="none" w:sz="0" w:space="0" w:color="auto"/>
        <w:right w:val="none" w:sz="0" w:space="0" w:color="auto"/>
      </w:divBdr>
    </w:div>
    <w:div w:id="1298149230">
      <w:bodyDiv w:val="1"/>
      <w:marLeft w:val="0"/>
      <w:marRight w:val="0"/>
      <w:marTop w:val="0"/>
      <w:marBottom w:val="0"/>
      <w:divBdr>
        <w:top w:val="none" w:sz="0" w:space="0" w:color="auto"/>
        <w:left w:val="none" w:sz="0" w:space="0" w:color="auto"/>
        <w:bottom w:val="none" w:sz="0" w:space="0" w:color="auto"/>
        <w:right w:val="none" w:sz="0" w:space="0" w:color="auto"/>
      </w:divBdr>
    </w:div>
    <w:div w:id="1368218431">
      <w:bodyDiv w:val="1"/>
      <w:marLeft w:val="0"/>
      <w:marRight w:val="0"/>
      <w:marTop w:val="0"/>
      <w:marBottom w:val="0"/>
      <w:divBdr>
        <w:top w:val="none" w:sz="0" w:space="0" w:color="auto"/>
        <w:left w:val="none" w:sz="0" w:space="0" w:color="auto"/>
        <w:bottom w:val="none" w:sz="0" w:space="0" w:color="auto"/>
        <w:right w:val="none" w:sz="0" w:space="0" w:color="auto"/>
      </w:divBdr>
    </w:div>
    <w:div w:id="1382972684">
      <w:bodyDiv w:val="1"/>
      <w:marLeft w:val="0"/>
      <w:marRight w:val="0"/>
      <w:marTop w:val="0"/>
      <w:marBottom w:val="0"/>
      <w:divBdr>
        <w:top w:val="none" w:sz="0" w:space="0" w:color="auto"/>
        <w:left w:val="none" w:sz="0" w:space="0" w:color="auto"/>
        <w:bottom w:val="none" w:sz="0" w:space="0" w:color="auto"/>
        <w:right w:val="none" w:sz="0" w:space="0" w:color="auto"/>
      </w:divBdr>
      <w:divsChild>
        <w:div w:id="1122307188">
          <w:marLeft w:val="0"/>
          <w:marRight w:val="0"/>
          <w:marTop w:val="150"/>
          <w:marBottom w:val="0"/>
          <w:divBdr>
            <w:top w:val="none" w:sz="0" w:space="0" w:color="auto"/>
            <w:left w:val="none" w:sz="0" w:space="0" w:color="auto"/>
            <w:bottom w:val="none" w:sz="0" w:space="0" w:color="auto"/>
            <w:right w:val="none" w:sz="0" w:space="0" w:color="auto"/>
          </w:divBdr>
          <w:divsChild>
            <w:div w:id="1275166007">
              <w:marLeft w:val="0"/>
              <w:marRight w:val="0"/>
              <w:marTop w:val="0"/>
              <w:marBottom w:val="0"/>
              <w:divBdr>
                <w:top w:val="single" w:sz="6" w:space="0" w:color="C1D1DA"/>
                <w:left w:val="single" w:sz="6" w:space="0" w:color="C1D1DA"/>
                <w:bottom w:val="none" w:sz="0" w:space="0" w:color="auto"/>
                <w:right w:val="single" w:sz="6" w:space="0" w:color="C1D1DA"/>
              </w:divBdr>
              <w:divsChild>
                <w:div w:id="579827839">
                  <w:marLeft w:val="0"/>
                  <w:marRight w:val="0"/>
                  <w:marTop w:val="100"/>
                  <w:marBottom w:val="100"/>
                  <w:divBdr>
                    <w:top w:val="none" w:sz="0" w:space="0" w:color="auto"/>
                    <w:left w:val="none" w:sz="0" w:space="0" w:color="auto"/>
                    <w:bottom w:val="none" w:sz="0" w:space="0" w:color="auto"/>
                    <w:right w:val="none" w:sz="0" w:space="0" w:color="auto"/>
                  </w:divBdr>
                  <w:divsChild>
                    <w:div w:id="1920215404">
                      <w:marLeft w:val="225"/>
                      <w:marRight w:val="225"/>
                      <w:marTop w:val="225"/>
                      <w:marBottom w:val="225"/>
                      <w:divBdr>
                        <w:top w:val="none" w:sz="0" w:space="0" w:color="auto"/>
                        <w:left w:val="none" w:sz="0" w:space="0" w:color="auto"/>
                        <w:bottom w:val="none" w:sz="0" w:space="0" w:color="auto"/>
                        <w:right w:val="none" w:sz="0" w:space="0" w:color="auto"/>
                      </w:divBdr>
                      <w:divsChild>
                        <w:div w:id="117973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2217898">
      <w:bodyDiv w:val="1"/>
      <w:marLeft w:val="0"/>
      <w:marRight w:val="0"/>
      <w:marTop w:val="0"/>
      <w:marBottom w:val="0"/>
      <w:divBdr>
        <w:top w:val="none" w:sz="0" w:space="0" w:color="auto"/>
        <w:left w:val="none" w:sz="0" w:space="0" w:color="auto"/>
        <w:bottom w:val="none" w:sz="0" w:space="0" w:color="auto"/>
        <w:right w:val="none" w:sz="0" w:space="0" w:color="auto"/>
      </w:divBdr>
    </w:div>
    <w:div w:id="1431318825">
      <w:bodyDiv w:val="1"/>
      <w:marLeft w:val="0"/>
      <w:marRight w:val="0"/>
      <w:marTop w:val="0"/>
      <w:marBottom w:val="0"/>
      <w:divBdr>
        <w:top w:val="none" w:sz="0" w:space="0" w:color="auto"/>
        <w:left w:val="none" w:sz="0" w:space="0" w:color="auto"/>
        <w:bottom w:val="none" w:sz="0" w:space="0" w:color="auto"/>
        <w:right w:val="none" w:sz="0" w:space="0" w:color="auto"/>
      </w:divBdr>
    </w:div>
    <w:div w:id="1435325656">
      <w:bodyDiv w:val="1"/>
      <w:marLeft w:val="0"/>
      <w:marRight w:val="0"/>
      <w:marTop w:val="0"/>
      <w:marBottom w:val="0"/>
      <w:divBdr>
        <w:top w:val="none" w:sz="0" w:space="0" w:color="auto"/>
        <w:left w:val="none" w:sz="0" w:space="0" w:color="auto"/>
        <w:bottom w:val="none" w:sz="0" w:space="0" w:color="auto"/>
        <w:right w:val="none" w:sz="0" w:space="0" w:color="auto"/>
      </w:divBdr>
    </w:div>
    <w:div w:id="1532495652">
      <w:bodyDiv w:val="1"/>
      <w:marLeft w:val="0"/>
      <w:marRight w:val="0"/>
      <w:marTop w:val="0"/>
      <w:marBottom w:val="0"/>
      <w:divBdr>
        <w:top w:val="none" w:sz="0" w:space="0" w:color="auto"/>
        <w:left w:val="none" w:sz="0" w:space="0" w:color="auto"/>
        <w:bottom w:val="none" w:sz="0" w:space="0" w:color="auto"/>
        <w:right w:val="none" w:sz="0" w:space="0" w:color="auto"/>
      </w:divBdr>
    </w:div>
    <w:div w:id="1562015321">
      <w:bodyDiv w:val="1"/>
      <w:marLeft w:val="0"/>
      <w:marRight w:val="0"/>
      <w:marTop w:val="0"/>
      <w:marBottom w:val="0"/>
      <w:divBdr>
        <w:top w:val="none" w:sz="0" w:space="0" w:color="auto"/>
        <w:left w:val="none" w:sz="0" w:space="0" w:color="auto"/>
        <w:bottom w:val="none" w:sz="0" w:space="0" w:color="auto"/>
        <w:right w:val="none" w:sz="0" w:space="0" w:color="auto"/>
      </w:divBdr>
    </w:div>
    <w:div w:id="1595243513">
      <w:bodyDiv w:val="1"/>
      <w:marLeft w:val="0"/>
      <w:marRight w:val="0"/>
      <w:marTop w:val="0"/>
      <w:marBottom w:val="0"/>
      <w:divBdr>
        <w:top w:val="none" w:sz="0" w:space="0" w:color="auto"/>
        <w:left w:val="none" w:sz="0" w:space="0" w:color="auto"/>
        <w:bottom w:val="none" w:sz="0" w:space="0" w:color="auto"/>
        <w:right w:val="none" w:sz="0" w:space="0" w:color="auto"/>
      </w:divBdr>
    </w:div>
    <w:div w:id="1610308130">
      <w:bodyDiv w:val="1"/>
      <w:marLeft w:val="0"/>
      <w:marRight w:val="0"/>
      <w:marTop w:val="0"/>
      <w:marBottom w:val="0"/>
      <w:divBdr>
        <w:top w:val="none" w:sz="0" w:space="0" w:color="auto"/>
        <w:left w:val="none" w:sz="0" w:space="0" w:color="auto"/>
        <w:bottom w:val="none" w:sz="0" w:space="0" w:color="auto"/>
        <w:right w:val="none" w:sz="0" w:space="0" w:color="auto"/>
      </w:divBdr>
      <w:divsChild>
        <w:div w:id="332225265">
          <w:marLeft w:val="0"/>
          <w:marRight w:val="0"/>
          <w:marTop w:val="0"/>
          <w:marBottom w:val="0"/>
          <w:divBdr>
            <w:top w:val="none" w:sz="0" w:space="0" w:color="auto"/>
            <w:left w:val="none" w:sz="0" w:space="0" w:color="auto"/>
            <w:bottom w:val="none" w:sz="0" w:space="0" w:color="auto"/>
            <w:right w:val="none" w:sz="0" w:space="0" w:color="auto"/>
          </w:divBdr>
        </w:div>
      </w:divsChild>
    </w:div>
    <w:div w:id="1612778007">
      <w:bodyDiv w:val="1"/>
      <w:marLeft w:val="0"/>
      <w:marRight w:val="0"/>
      <w:marTop w:val="0"/>
      <w:marBottom w:val="0"/>
      <w:divBdr>
        <w:top w:val="none" w:sz="0" w:space="0" w:color="auto"/>
        <w:left w:val="none" w:sz="0" w:space="0" w:color="auto"/>
        <w:bottom w:val="none" w:sz="0" w:space="0" w:color="auto"/>
        <w:right w:val="none" w:sz="0" w:space="0" w:color="auto"/>
      </w:divBdr>
    </w:div>
    <w:div w:id="1619949001">
      <w:bodyDiv w:val="1"/>
      <w:marLeft w:val="0"/>
      <w:marRight w:val="0"/>
      <w:marTop w:val="0"/>
      <w:marBottom w:val="0"/>
      <w:divBdr>
        <w:top w:val="none" w:sz="0" w:space="0" w:color="auto"/>
        <w:left w:val="none" w:sz="0" w:space="0" w:color="auto"/>
        <w:bottom w:val="none" w:sz="0" w:space="0" w:color="auto"/>
        <w:right w:val="none" w:sz="0" w:space="0" w:color="auto"/>
      </w:divBdr>
    </w:div>
    <w:div w:id="1647391189">
      <w:bodyDiv w:val="1"/>
      <w:marLeft w:val="0"/>
      <w:marRight w:val="0"/>
      <w:marTop w:val="0"/>
      <w:marBottom w:val="0"/>
      <w:divBdr>
        <w:top w:val="none" w:sz="0" w:space="0" w:color="auto"/>
        <w:left w:val="none" w:sz="0" w:space="0" w:color="auto"/>
        <w:bottom w:val="none" w:sz="0" w:space="0" w:color="auto"/>
        <w:right w:val="none" w:sz="0" w:space="0" w:color="auto"/>
      </w:divBdr>
    </w:div>
    <w:div w:id="1663777289">
      <w:bodyDiv w:val="1"/>
      <w:marLeft w:val="0"/>
      <w:marRight w:val="0"/>
      <w:marTop w:val="0"/>
      <w:marBottom w:val="0"/>
      <w:divBdr>
        <w:top w:val="none" w:sz="0" w:space="0" w:color="auto"/>
        <w:left w:val="none" w:sz="0" w:space="0" w:color="auto"/>
        <w:bottom w:val="none" w:sz="0" w:space="0" w:color="auto"/>
        <w:right w:val="none" w:sz="0" w:space="0" w:color="auto"/>
      </w:divBdr>
    </w:div>
    <w:div w:id="1680621672">
      <w:bodyDiv w:val="1"/>
      <w:marLeft w:val="0"/>
      <w:marRight w:val="0"/>
      <w:marTop w:val="0"/>
      <w:marBottom w:val="0"/>
      <w:divBdr>
        <w:top w:val="none" w:sz="0" w:space="0" w:color="auto"/>
        <w:left w:val="none" w:sz="0" w:space="0" w:color="auto"/>
        <w:bottom w:val="none" w:sz="0" w:space="0" w:color="auto"/>
        <w:right w:val="none" w:sz="0" w:space="0" w:color="auto"/>
      </w:divBdr>
    </w:div>
    <w:div w:id="1718973145">
      <w:bodyDiv w:val="1"/>
      <w:marLeft w:val="0"/>
      <w:marRight w:val="0"/>
      <w:marTop w:val="0"/>
      <w:marBottom w:val="0"/>
      <w:divBdr>
        <w:top w:val="none" w:sz="0" w:space="0" w:color="auto"/>
        <w:left w:val="none" w:sz="0" w:space="0" w:color="auto"/>
        <w:bottom w:val="none" w:sz="0" w:space="0" w:color="auto"/>
        <w:right w:val="none" w:sz="0" w:space="0" w:color="auto"/>
      </w:divBdr>
    </w:div>
    <w:div w:id="1788160274">
      <w:bodyDiv w:val="1"/>
      <w:marLeft w:val="0"/>
      <w:marRight w:val="0"/>
      <w:marTop w:val="0"/>
      <w:marBottom w:val="0"/>
      <w:divBdr>
        <w:top w:val="none" w:sz="0" w:space="0" w:color="auto"/>
        <w:left w:val="none" w:sz="0" w:space="0" w:color="auto"/>
        <w:bottom w:val="none" w:sz="0" w:space="0" w:color="auto"/>
        <w:right w:val="none" w:sz="0" w:space="0" w:color="auto"/>
      </w:divBdr>
      <w:divsChild>
        <w:div w:id="496582379">
          <w:marLeft w:val="0"/>
          <w:marRight w:val="0"/>
          <w:marTop w:val="0"/>
          <w:marBottom w:val="0"/>
          <w:divBdr>
            <w:top w:val="none" w:sz="0" w:space="0" w:color="auto"/>
            <w:left w:val="none" w:sz="0" w:space="0" w:color="auto"/>
            <w:bottom w:val="none" w:sz="0" w:space="0" w:color="auto"/>
            <w:right w:val="none" w:sz="0" w:space="0" w:color="auto"/>
          </w:divBdr>
        </w:div>
      </w:divsChild>
    </w:div>
    <w:div w:id="1791823208">
      <w:bodyDiv w:val="1"/>
      <w:marLeft w:val="0"/>
      <w:marRight w:val="0"/>
      <w:marTop w:val="0"/>
      <w:marBottom w:val="0"/>
      <w:divBdr>
        <w:top w:val="none" w:sz="0" w:space="0" w:color="auto"/>
        <w:left w:val="none" w:sz="0" w:space="0" w:color="auto"/>
        <w:bottom w:val="none" w:sz="0" w:space="0" w:color="auto"/>
        <w:right w:val="none" w:sz="0" w:space="0" w:color="auto"/>
      </w:divBdr>
    </w:div>
    <w:div w:id="1862931146">
      <w:bodyDiv w:val="1"/>
      <w:marLeft w:val="0"/>
      <w:marRight w:val="0"/>
      <w:marTop w:val="0"/>
      <w:marBottom w:val="0"/>
      <w:divBdr>
        <w:top w:val="none" w:sz="0" w:space="0" w:color="auto"/>
        <w:left w:val="none" w:sz="0" w:space="0" w:color="auto"/>
        <w:bottom w:val="none" w:sz="0" w:space="0" w:color="auto"/>
        <w:right w:val="none" w:sz="0" w:space="0" w:color="auto"/>
      </w:divBdr>
    </w:div>
    <w:div w:id="1869217954">
      <w:bodyDiv w:val="1"/>
      <w:marLeft w:val="0"/>
      <w:marRight w:val="0"/>
      <w:marTop w:val="0"/>
      <w:marBottom w:val="0"/>
      <w:divBdr>
        <w:top w:val="none" w:sz="0" w:space="0" w:color="auto"/>
        <w:left w:val="none" w:sz="0" w:space="0" w:color="auto"/>
        <w:bottom w:val="none" w:sz="0" w:space="0" w:color="auto"/>
        <w:right w:val="none" w:sz="0" w:space="0" w:color="auto"/>
      </w:divBdr>
    </w:div>
    <w:div w:id="1916550139">
      <w:bodyDiv w:val="1"/>
      <w:marLeft w:val="0"/>
      <w:marRight w:val="0"/>
      <w:marTop w:val="0"/>
      <w:marBottom w:val="0"/>
      <w:divBdr>
        <w:top w:val="none" w:sz="0" w:space="0" w:color="auto"/>
        <w:left w:val="none" w:sz="0" w:space="0" w:color="auto"/>
        <w:bottom w:val="none" w:sz="0" w:space="0" w:color="auto"/>
        <w:right w:val="none" w:sz="0" w:space="0" w:color="auto"/>
      </w:divBdr>
    </w:div>
    <w:div w:id="2001345319">
      <w:bodyDiv w:val="1"/>
      <w:marLeft w:val="0"/>
      <w:marRight w:val="0"/>
      <w:marTop w:val="0"/>
      <w:marBottom w:val="0"/>
      <w:divBdr>
        <w:top w:val="none" w:sz="0" w:space="0" w:color="auto"/>
        <w:left w:val="none" w:sz="0" w:space="0" w:color="auto"/>
        <w:bottom w:val="none" w:sz="0" w:space="0" w:color="auto"/>
        <w:right w:val="none" w:sz="0" w:space="0" w:color="auto"/>
      </w:divBdr>
    </w:div>
    <w:div w:id="2010594554">
      <w:bodyDiv w:val="1"/>
      <w:marLeft w:val="0"/>
      <w:marRight w:val="0"/>
      <w:marTop w:val="0"/>
      <w:marBottom w:val="0"/>
      <w:divBdr>
        <w:top w:val="none" w:sz="0" w:space="0" w:color="auto"/>
        <w:left w:val="none" w:sz="0" w:space="0" w:color="auto"/>
        <w:bottom w:val="none" w:sz="0" w:space="0" w:color="auto"/>
        <w:right w:val="none" w:sz="0" w:space="0" w:color="auto"/>
      </w:divBdr>
    </w:div>
    <w:div w:id="2034376548">
      <w:bodyDiv w:val="1"/>
      <w:marLeft w:val="0"/>
      <w:marRight w:val="0"/>
      <w:marTop w:val="0"/>
      <w:marBottom w:val="0"/>
      <w:divBdr>
        <w:top w:val="none" w:sz="0" w:space="0" w:color="auto"/>
        <w:left w:val="none" w:sz="0" w:space="0" w:color="auto"/>
        <w:bottom w:val="none" w:sz="0" w:space="0" w:color="auto"/>
        <w:right w:val="none" w:sz="0" w:space="0" w:color="auto"/>
      </w:divBdr>
    </w:div>
    <w:div w:id="2057659246">
      <w:bodyDiv w:val="1"/>
      <w:marLeft w:val="0"/>
      <w:marRight w:val="0"/>
      <w:marTop w:val="0"/>
      <w:marBottom w:val="0"/>
      <w:divBdr>
        <w:top w:val="none" w:sz="0" w:space="0" w:color="auto"/>
        <w:left w:val="none" w:sz="0" w:space="0" w:color="auto"/>
        <w:bottom w:val="none" w:sz="0" w:space="0" w:color="auto"/>
        <w:right w:val="none" w:sz="0" w:space="0" w:color="auto"/>
      </w:divBdr>
    </w:div>
    <w:div w:id="2060549937">
      <w:bodyDiv w:val="1"/>
      <w:marLeft w:val="0"/>
      <w:marRight w:val="0"/>
      <w:marTop w:val="0"/>
      <w:marBottom w:val="0"/>
      <w:divBdr>
        <w:top w:val="none" w:sz="0" w:space="0" w:color="auto"/>
        <w:left w:val="none" w:sz="0" w:space="0" w:color="auto"/>
        <w:bottom w:val="none" w:sz="0" w:space="0" w:color="auto"/>
        <w:right w:val="none" w:sz="0" w:space="0" w:color="auto"/>
      </w:divBdr>
      <w:divsChild>
        <w:div w:id="214053087">
          <w:marLeft w:val="0"/>
          <w:marRight w:val="0"/>
          <w:marTop w:val="0"/>
          <w:marBottom w:val="0"/>
          <w:divBdr>
            <w:top w:val="none" w:sz="0" w:space="0" w:color="auto"/>
            <w:left w:val="none" w:sz="0" w:space="0" w:color="auto"/>
            <w:bottom w:val="none" w:sz="0" w:space="0" w:color="auto"/>
            <w:right w:val="none" w:sz="0" w:space="0" w:color="auto"/>
          </w:divBdr>
        </w:div>
      </w:divsChild>
    </w:div>
    <w:div w:id="2105492045">
      <w:bodyDiv w:val="1"/>
      <w:marLeft w:val="0"/>
      <w:marRight w:val="0"/>
      <w:marTop w:val="0"/>
      <w:marBottom w:val="0"/>
      <w:divBdr>
        <w:top w:val="none" w:sz="0" w:space="0" w:color="auto"/>
        <w:left w:val="none" w:sz="0" w:space="0" w:color="auto"/>
        <w:bottom w:val="none" w:sz="0" w:space="0" w:color="auto"/>
        <w:right w:val="none" w:sz="0" w:space="0" w:color="auto"/>
      </w:divBdr>
    </w:div>
    <w:div w:id="213582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57A22-6F1D-4754-A6A2-5E9700D2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356</Words>
  <Characters>2031</Characters>
  <Application>Microsoft Office Word</Application>
  <DocSecurity>0</DocSecurity>
  <Lines>16</Lines>
  <Paragraphs>4</Paragraphs>
  <ScaleCrop>false</ScaleCrop>
  <Company>微软中国</Company>
  <LinksUpToDate>false</LinksUpToDate>
  <CharactersWithSpaces>2383</CharactersWithSpaces>
  <SharedDoc>false</SharedDoc>
  <HLinks>
    <vt:vector size="6" baseType="variant">
      <vt:variant>
        <vt:i4>6422611</vt:i4>
      </vt:variant>
      <vt:variant>
        <vt:i4>0</vt:i4>
      </vt:variant>
      <vt:variant>
        <vt:i4>0</vt:i4>
      </vt:variant>
      <vt:variant>
        <vt:i4>5</vt:i4>
      </vt:variant>
      <vt:variant>
        <vt:lpwstr>mailto:yyxuaner@gmail.com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杨璇</dc:creator>
  <cp:lastModifiedBy>LJL</cp:lastModifiedBy>
  <cp:revision>2</cp:revision>
  <cp:lastPrinted>2016-03-13T09:41:00Z</cp:lastPrinted>
  <dcterms:created xsi:type="dcterms:W3CDTF">2017-08-20T14:58:00Z</dcterms:created>
  <dcterms:modified xsi:type="dcterms:W3CDTF">2017-08-20T14:58:00Z</dcterms:modified>
</cp:coreProperties>
</file>