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578" w:type="dxa"/>
        <w:tblLayout w:type="fixed"/>
        <w:tblLook w:val="04A0"/>
      </w:tblPr>
      <w:tblGrid>
        <w:gridCol w:w="1843"/>
        <w:gridCol w:w="992"/>
        <w:gridCol w:w="851"/>
        <w:gridCol w:w="5812"/>
      </w:tblGrid>
      <w:tr w:rsidR="004A6A9F" w:rsidRPr="00054A12" w:rsidTr="006023CB">
        <w:tc>
          <w:tcPr>
            <w:tcW w:w="1843" w:type="dxa"/>
            <w:shd w:val="clear" w:color="auto" w:fill="auto"/>
          </w:tcPr>
          <w:p w:rsidR="004A6A9F" w:rsidRPr="00F37149" w:rsidRDefault="005935B8" w:rsidP="006023CB">
            <w:pPr>
              <w:ind w:rightChars="454" w:right="999" w:firstLineChars="0" w:firstLine="0"/>
              <w:rPr>
                <w:b/>
                <w:color w:val="FFFFFF"/>
                <w:sz w:val="32"/>
              </w:rPr>
            </w:pPr>
            <w:r>
              <w:rPr>
                <w:b/>
                <w:noProof/>
                <w:color w:val="FFFFFF"/>
                <w:sz w:val="32"/>
              </w:rPr>
              <w:pict>
                <v:group id="_x0000_s1284" style="position:absolute;left:0;text-align:left;margin-left:-5.5pt;margin-top:-.4pt;width:158.25pt;height:33.2pt;z-index:251657728" coordorigin="1071,1616" coordsize="3165,664">
                  <v:roundrect id="_x0000_s1285" style="position:absolute;left:1071;top:1616;width:2920;height:664;mso-position-horizontal-relative:margin;mso-position-vertical-relative:page" arcsize="10923f" fillcolor="#9da4d3" stroked="f">
                    <v:textbox style="mso-next-textbox:#_x0000_s1285" inset="0,0,0,0">
                      <w:txbxContent>
                        <w:p w:rsidR="004A6A9F" w:rsidRDefault="004A6A9F" w:rsidP="004A6A9F">
                          <w:pPr>
                            <w:ind w:firstLine="641"/>
                          </w:pPr>
                          <w:r w:rsidRPr="00F37149">
                            <w:rPr>
                              <w:rFonts w:hint="eastAsia"/>
                              <w:b/>
                              <w:color w:val="FFFFFF"/>
                              <w:sz w:val="32"/>
                            </w:rPr>
                            <w:t>理财月报</w:t>
                          </w:r>
                        </w:p>
                      </w:txbxContent>
                    </v:textbox>
                  </v:roundrect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_x0000_s1286" type="#_x0000_t7" style="position:absolute;left:3766;top:1616;width:470;height:664;mso-position-horizontal-relative:margin;mso-position-vertical-relative:page" fillcolor="#f2f2f2" stroked="f">
                    <v:textbox style="layout-flow:vertical-ideographic"/>
                  </v:shape>
                </v:group>
              </w:pict>
            </w:r>
          </w:p>
        </w:tc>
        <w:tc>
          <w:tcPr>
            <w:tcW w:w="1843" w:type="dxa"/>
            <w:gridSpan w:val="2"/>
            <w:shd w:val="clear" w:color="auto" w:fill="010281"/>
          </w:tcPr>
          <w:p w:rsidR="004A6A9F" w:rsidRPr="00F37149" w:rsidRDefault="004A6A9F" w:rsidP="006023CB">
            <w:pPr>
              <w:ind w:rightChars="454" w:right="999" w:firstLineChars="0" w:firstLine="0"/>
              <w:rPr>
                <w:b/>
                <w:color w:val="FFFFFF"/>
                <w:sz w:val="32"/>
              </w:rPr>
            </w:pPr>
          </w:p>
        </w:tc>
        <w:tc>
          <w:tcPr>
            <w:tcW w:w="5812" w:type="dxa"/>
            <w:shd w:val="clear" w:color="auto" w:fill="010281"/>
          </w:tcPr>
          <w:p w:rsidR="004A6A9F" w:rsidRPr="00F37149" w:rsidRDefault="004178BC" w:rsidP="001E03C8">
            <w:pPr>
              <w:pStyle w:val="Afa"/>
            </w:pPr>
            <w:r>
              <w:rPr>
                <w:rFonts w:hint="eastAsia"/>
              </w:rPr>
              <w:t>LLDPE</w:t>
            </w:r>
          </w:p>
        </w:tc>
      </w:tr>
      <w:tr w:rsidR="004A6A9F" w:rsidRPr="00054A12" w:rsidTr="006023CB">
        <w:trPr>
          <w:trHeight w:val="58"/>
        </w:trPr>
        <w:tc>
          <w:tcPr>
            <w:tcW w:w="3686" w:type="dxa"/>
            <w:gridSpan w:val="3"/>
            <w:shd w:val="clear" w:color="auto" w:fill="auto"/>
          </w:tcPr>
          <w:p w:rsidR="004A6A9F" w:rsidRPr="00054A12" w:rsidRDefault="004A6A9F" w:rsidP="006023CB">
            <w:pPr>
              <w:ind w:rightChars="454" w:right="999" w:firstLineChars="0" w:firstLine="0"/>
            </w:pPr>
            <w:proofErr w:type="gramStart"/>
            <w:r w:rsidRPr="00054A12">
              <w:rPr>
                <w:rFonts w:hint="eastAsia"/>
              </w:rPr>
              <w:t>兴证期货</w:t>
            </w:r>
            <w:proofErr w:type="gramEnd"/>
            <w:r>
              <w:rPr>
                <w:rFonts w:hint="eastAsia"/>
              </w:rPr>
              <w:t>·</w:t>
            </w:r>
            <w:r w:rsidRPr="00054A12">
              <w:rPr>
                <w:rFonts w:hint="eastAsia"/>
              </w:rPr>
              <w:t>研发产品系列</w:t>
            </w:r>
          </w:p>
        </w:tc>
        <w:tc>
          <w:tcPr>
            <w:tcW w:w="5812" w:type="dxa"/>
            <w:shd w:val="clear" w:color="auto" w:fill="auto"/>
          </w:tcPr>
          <w:p w:rsidR="004A6A9F" w:rsidRPr="00054A12" w:rsidRDefault="004A6A9F" w:rsidP="006023CB">
            <w:pPr>
              <w:wordWrap w:val="0"/>
              <w:ind w:rightChars="454" w:right="999" w:firstLineChars="0" w:firstLine="0"/>
            </w:pPr>
          </w:p>
        </w:tc>
      </w:tr>
      <w:tr w:rsidR="004A6A9F" w:rsidRPr="00054A12" w:rsidTr="004178BC">
        <w:tblPrEx>
          <w:tblBorders>
            <w:bottom w:val="single" w:sz="18" w:space="0" w:color="010281"/>
          </w:tblBorders>
        </w:tblPrEx>
        <w:trPr>
          <w:trHeight w:val="1012"/>
        </w:trPr>
        <w:tc>
          <w:tcPr>
            <w:tcW w:w="9498" w:type="dxa"/>
            <w:gridSpan w:val="4"/>
            <w:tcBorders>
              <w:bottom w:val="single" w:sz="18" w:space="0" w:color="010281"/>
            </w:tcBorders>
            <w:vAlign w:val="bottom"/>
          </w:tcPr>
          <w:p w:rsidR="004A6A9F" w:rsidRPr="00F37149" w:rsidRDefault="004178BC" w:rsidP="000873A9">
            <w:pPr>
              <w:pStyle w:val="B"/>
              <w:jc w:val="both"/>
            </w:pPr>
            <w:bookmarkStart w:id="0" w:name="_Toc484420754"/>
            <w:r w:rsidRPr="004178BC">
              <w:rPr>
                <w:rFonts w:ascii="楷体" w:eastAsia="楷体" w:hAnsi="楷体" w:hint="eastAsia"/>
                <w:b w:val="0"/>
                <w:color w:val="010281"/>
                <w:kern w:val="2"/>
                <w:sz w:val="22"/>
                <w:szCs w:val="24"/>
              </w:rPr>
              <w:t>兴证期货·研究发展部</w:t>
            </w:r>
            <w:r w:rsidR="000873A9">
              <w:rPr>
                <w:rFonts w:hint="eastAsia"/>
              </w:rPr>
              <w:t xml:space="preserve">      “禁废令”</w:t>
            </w:r>
            <w:bookmarkEnd w:id="0"/>
            <w:r w:rsidR="000873A9">
              <w:rPr>
                <w:rFonts w:hint="eastAsia"/>
              </w:rPr>
              <w:t>影响可能有限</w:t>
            </w:r>
          </w:p>
        </w:tc>
      </w:tr>
      <w:tr w:rsidR="004178BC" w:rsidRPr="00054A12" w:rsidTr="00A73E93">
        <w:tblPrEx>
          <w:tblBorders>
            <w:bottom w:val="single" w:sz="18" w:space="0" w:color="010281"/>
          </w:tblBorders>
        </w:tblPrEx>
        <w:trPr>
          <w:trHeight w:val="840"/>
        </w:trPr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4178BC" w:rsidRPr="00B208CC" w:rsidRDefault="004178BC" w:rsidP="004178BC">
            <w:pPr>
              <w:ind w:firstLineChars="0" w:firstLine="0"/>
              <w:rPr>
                <w:rFonts w:ascii="楷体" w:eastAsia="楷体" w:hAnsi="楷体"/>
                <w:color w:val="010281"/>
              </w:rPr>
            </w:pPr>
            <w:r w:rsidRPr="00B208CC">
              <w:rPr>
                <w:rFonts w:ascii="楷体" w:eastAsia="楷体" w:hAnsi="楷体" w:hint="eastAsia"/>
                <w:color w:val="010281"/>
              </w:rPr>
              <w:t>能化研究团队</w:t>
            </w:r>
          </w:p>
          <w:p w:rsidR="004178BC" w:rsidRPr="00B208CC" w:rsidRDefault="004178BC" w:rsidP="004178BC">
            <w:pPr>
              <w:ind w:firstLineChars="0" w:firstLine="0"/>
              <w:rPr>
                <w:rFonts w:ascii="楷体" w:eastAsia="楷体" w:hAnsi="楷体"/>
                <w:color w:val="010281"/>
              </w:rPr>
            </w:pPr>
          </w:p>
          <w:p w:rsidR="004178BC" w:rsidRPr="00B208CC" w:rsidRDefault="004178BC" w:rsidP="004178BC">
            <w:pPr>
              <w:ind w:firstLineChars="0" w:firstLine="0"/>
              <w:rPr>
                <w:rFonts w:ascii="楷体" w:eastAsia="楷体" w:hAnsi="楷体"/>
                <w:color w:val="010281"/>
              </w:rPr>
            </w:pPr>
            <w:r w:rsidRPr="00B208CC">
              <w:rPr>
                <w:rFonts w:ascii="楷体" w:eastAsia="楷体" w:hAnsi="楷体" w:hint="eastAsia"/>
                <w:color w:val="010281"/>
              </w:rPr>
              <w:t>林惠</w:t>
            </w:r>
          </w:p>
          <w:p w:rsidR="004178BC" w:rsidRPr="00B208CC" w:rsidRDefault="004178BC" w:rsidP="004178BC">
            <w:pPr>
              <w:ind w:firstLineChars="0" w:firstLine="0"/>
              <w:rPr>
                <w:rFonts w:ascii="楷体" w:eastAsia="楷体" w:hAnsi="楷体"/>
                <w:color w:val="010281"/>
              </w:rPr>
            </w:pPr>
            <w:r w:rsidRPr="00B208CC">
              <w:rPr>
                <w:rFonts w:ascii="楷体" w:eastAsia="楷体" w:hAnsi="楷体" w:hint="eastAsia"/>
                <w:color w:val="010281"/>
              </w:rPr>
              <w:t>从业资格号：F0306148</w:t>
            </w:r>
          </w:p>
          <w:p w:rsidR="004178BC" w:rsidRPr="00B208CC" w:rsidRDefault="004178BC" w:rsidP="004178BC">
            <w:pPr>
              <w:ind w:firstLineChars="0" w:firstLine="0"/>
              <w:rPr>
                <w:rFonts w:ascii="楷体" w:eastAsia="楷体" w:hAnsi="楷体"/>
                <w:color w:val="010281"/>
              </w:rPr>
            </w:pPr>
            <w:r w:rsidRPr="00B208CC">
              <w:rPr>
                <w:rFonts w:ascii="楷体" w:eastAsia="楷体" w:hAnsi="楷体" w:hint="eastAsia"/>
                <w:color w:val="010281"/>
              </w:rPr>
              <w:t>投资咨询资格号：Z0012671</w:t>
            </w:r>
          </w:p>
          <w:p w:rsidR="004178BC" w:rsidRPr="00B208CC" w:rsidRDefault="004178BC" w:rsidP="004178BC">
            <w:pPr>
              <w:ind w:firstLineChars="0" w:firstLine="0"/>
              <w:rPr>
                <w:rFonts w:ascii="楷体" w:eastAsia="楷体" w:hAnsi="楷体"/>
                <w:color w:val="010281"/>
              </w:rPr>
            </w:pPr>
          </w:p>
          <w:p w:rsidR="004178BC" w:rsidRPr="00B208CC" w:rsidRDefault="004178BC" w:rsidP="004178BC">
            <w:pPr>
              <w:ind w:firstLineChars="0" w:firstLine="0"/>
              <w:rPr>
                <w:rFonts w:ascii="楷体" w:eastAsia="楷体" w:hAnsi="楷体"/>
                <w:color w:val="010281"/>
              </w:rPr>
            </w:pPr>
            <w:r w:rsidRPr="00B208CC">
              <w:rPr>
                <w:rFonts w:ascii="楷体" w:eastAsia="楷体" w:hAnsi="楷体" w:hint="eastAsia"/>
                <w:color w:val="010281"/>
              </w:rPr>
              <w:t>刘佳利</w:t>
            </w:r>
          </w:p>
          <w:p w:rsidR="004178BC" w:rsidRPr="00B208CC" w:rsidRDefault="004178BC" w:rsidP="004178BC">
            <w:pPr>
              <w:ind w:firstLineChars="0" w:firstLine="0"/>
              <w:rPr>
                <w:rFonts w:ascii="楷体" w:eastAsia="楷体" w:hAnsi="楷体"/>
                <w:color w:val="010281"/>
              </w:rPr>
            </w:pPr>
            <w:r w:rsidRPr="00B208CC">
              <w:rPr>
                <w:rFonts w:ascii="楷体" w:eastAsia="楷体" w:hAnsi="楷体" w:hint="eastAsia"/>
                <w:color w:val="010281"/>
              </w:rPr>
              <w:t>从业资格号：F0302346</w:t>
            </w:r>
          </w:p>
          <w:p w:rsidR="004178BC" w:rsidRPr="00B208CC" w:rsidRDefault="004178BC" w:rsidP="004178BC">
            <w:pPr>
              <w:ind w:firstLineChars="0" w:firstLine="0"/>
              <w:rPr>
                <w:rFonts w:ascii="楷体" w:eastAsia="楷体" w:hAnsi="楷体"/>
                <w:color w:val="010281"/>
              </w:rPr>
            </w:pPr>
            <w:r w:rsidRPr="00B208CC">
              <w:rPr>
                <w:rFonts w:ascii="楷体" w:eastAsia="楷体" w:hAnsi="楷体" w:hint="eastAsia"/>
                <w:color w:val="010281"/>
              </w:rPr>
              <w:t>投资咨询资格号：Z0011397</w:t>
            </w:r>
          </w:p>
          <w:p w:rsidR="004178BC" w:rsidRPr="00B208CC" w:rsidRDefault="004178BC" w:rsidP="004178BC">
            <w:pPr>
              <w:ind w:firstLineChars="0" w:firstLine="0"/>
              <w:rPr>
                <w:rFonts w:ascii="楷体" w:eastAsia="楷体" w:hAnsi="楷体"/>
                <w:color w:val="010281"/>
              </w:rPr>
            </w:pPr>
          </w:p>
          <w:p w:rsidR="004178BC" w:rsidRPr="00B208CC" w:rsidRDefault="004178BC" w:rsidP="004178BC">
            <w:pPr>
              <w:ind w:firstLineChars="0" w:firstLine="0"/>
              <w:rPr>
                <w:rFonts w:ascii="楷体" w:eastAsia="楷体" w:hAnsi="楷体"/>
                <w:color w:val="010281"/>
              </w:rPr>
            </w:pPr>
            <w:r w:rsidRPr="00B208CC">
              <w:rPr>
                <w:rFonts w:ascii="楷体" w:eastAsia="楷体" w:hAnsi="楷体" w:hint="eastAsia"/>
                <w:color w:val="010281"/>
              </w:rPr>
              <w:t>施海</w:t>
            </w:r>
          </w:p>
          <w:p w:rsidR="004178BC" w:rsidRPr="00B208CC" w:rsidRDefault="004178BC" w:rsidP="004178BC">
            <w:pPr>
              <w:ind w:firstLineChars="0" w:firstLine="0"/>
              <w:rPr>
                <w:rFonts w:ascii="楷体" w:eastAsia="楷体" w:hAnsi="楷体"/>
                <w:color w:val="010281"/>
              </w:rPr>
            </w:pPr>
            <w:r w:rsidRPr="00B208CC">
              <w:rPr>
                <w:rFonts w:ascii="楷体" w:eastAsia="楷体" w:hAnsi="楷体" w:hint="eastAsia"/>
                <w:color w:val="010281"/>
              </w:rPr>
              <w:t>从业资格号：F0273014</w:t>
            </w:r>
          </w:p>
          <w:p w:rsidR="004178BC" w:rsidRPr="00B208CC" w:rsidRDefault="004178BC" w:rsidP="004178BC">
            <w:pPr>
              <w:ind w:firstLineChars="0" w:firstLine="0"/>
              <w:rPr>
                <w:rFonts w:ascii="楷体" w:eastAsia="楷体" w:hAnsi="楷体"/>
                <w:color w:val="010281"/>
              </w:rPr>
            </w:pPr>
            <w:r w:rsidRPr="00B208CC">
              <w:rPr>
                <w:rFonts w:ascii="楷体" w:eastAsia="楷体" w:hAnsi="楷体" w:hint="eastAsia"/>
                <w:color w:val="010281"/>
              </w:rPr>
              <w:t>投资咨询资格号：Z0011937</w:t>
            </w:r>
          </w:p>
          <w:p w:rsidR="004178BC" w:rsidRPr="00B208CC" w:rsidRDefault="004178BC" w:rsidP="004178BC">
            <w:pPr>
              <w:ind w:firstLineChars="0" w:firstLine="0"/>
              <w:rPr>
                <w:rFonts w:ascii="楷体" w:eastAsia="楷体" w:hAnsi="楷体"/>
                <w:color w:val="010281"/>
              </w:rPr>
            </w:pPr>
          </w:p>
          <w:p w:rsidR="004178BC" w:rsidRPr="00B208CC" w:rsidRDefault="004178BC" w:rsidP="004178BC">
            <w:pPr>
              <w:ind w:firstLineChars="0" w:firstLine="0"/>
              <w:rPr>
                <w:rFonts w:ascii="楷体" w:eastAsia="楷体" w:hAnsi="楷体"/>
                <w:color w:val="010281"/>
              </w:rPr>
            </w:pPr>
            <w:r w:rsidRPr="00B208CC">
              <w:rPr>
                <w:rFonts w:ascii="楷体" w:eastAsia="楷体" w:hAnsi="楷体" w:hint="eastAsia"/>
                <w:color w:val="010281"/>
              </w:rPr>
              <w:t>刘</w:t>
            </w:r>
            <w:proofErr w:type="gramStart"/>
            <w:r w:rsidRPr="00B208CC">
              <w:rPr>
                <w:rFonts w:ascii="楷体" w:eastAsia="楷体" w:hAnsi="楷体" w:hint="eastAsia"/>
                <w:color w:val="010281"/>
              </w:rPr>
              <w:t>倡</w:t>
            </w:r>
            <w:proofErr w:type="gramEnd"/>
          </w:p>
          <w:p w:rsidR="004178BC" w:rsidRPr="00B208CC" w:rsidRDefault="004178BC" w:rsidP="004178BC">
            <w:pPr>
              <w:ind w:firstLineChars="0" w:firstLine="0"/>
              <w:rPr>
                <w:rFonts w:ascii="楷体" w:eastAsia="楷体" w:hAnsi="楷体"/>
                <w:color w:val="010281"/>
              </w:rPr>
            </w:pPr>
            <w:r w:rsidRPr="00B208CC">
              <w:rPr>
                <w:rFonts w:ascii="楷体" w:eastAsia="楷体" w:hAnsi="楷体" w:hint="eastAsia"/>
                <w:color w:val="010281"/>
              </w:rPr>
              <w:t>从业资格号：F3024149</w:t>
            </w:r>
          </w:p>
          <w:p w:rsidR="004178BC" w:rsidRPr="00B208CC" w:rsidRDefault="004178BC" w:rsidP="004178BC">
            <w:pPr>
              <w:ind w:firstLineChars="0" w:firstLine="0"/>
              <w:rPr>
                <w:rFonts w:ascii="楷体" w:eastAsia="楷体" w:hAnsi="楷体"/>
                <w:color w:val="010281"/>
              </w:rPr>
            </w:pPr>
          </w:p>
          <w:p w:rsidR="004178BC" w:rsidRPr="00B208CC" w:rsidRDefault="004178BC" w:rsidP="004178BC">
            <w:pPr>
              <w:ind w:firstLineChars="0" w:firstLine="0"/>
              <w:rPr>
                <w:rFonts w:ascii="楷体" w:eastAsia="楷体" w:hAnsi="楷体"/>
                <w:color w:val="010281"/>
              </w:rPr>
            </w:pPr>
            <w:r w:rsidRPr="00B208CC">
              <w:rPr>
                <w:rFonts w:ascii="楷体" w:eastAsia="楷体" w:hAnsi="楷体" w:hint="eastAsia"/>
                <w:color w:val="010281"/>
              </w:rPr>
              <w:t>联系方式：</w:t>
            </w:r>
          </w:p>
          <w:p w:rsidR="004178BC" w:rsidRPr="00B208CC" w:rsidRDefault="004178BC" w:rsidP="004178BC">
            <w:pPr>
              <w:ind w:firstLineChars="0" w:firstLine="0"/>
              <w:rPr>
                <w:rFonts w:ascii="楷体" w:eastAsia="楷体" w:hAnsi="楷体"/>
                <w:color w:val="010281"/>
              </w:rPr>
            </w:pPr>
            <w:r w:rsidRPr="00B208CC">
              <w:rPr>
                <w:rFonts w:ascii="楷体" w:eastAsia="楷体" w:hAnsi="楷体"/>
                <w:color w:val="010281"/>
              </w:rPr>
              <w:t>021-2037097</w:t>
            </w:r>
            <w:r>
              <w:rPr>
                <w:rFonts w:ascii="楷体" w:eastAsia="楷体" w:hAnsi="楷体" w:hint="eastAsia"/>
                <w:color w:val="010281"/>
              </w:rPr>
              <w:t>2</w:t>
            </w:r>
          </w:p>
          <w:p w:rsidR="004178BC" w:rsidRPr="00F37149" w:rsidRDefault="004178BC" w:rsidP="004178BC">
            <w:pPr>
              <w:ind w:right="440" w:firstLineChars="0" w:firstLine="0"/>
              <w:rPr>
                <w:rFonts w:hAnsi="楷体"/>
                <w:color w:val="010381"/>
              </w:rPr>
            </w:pPr>
            <w:r w:rsidRPr="00BF3185">
              <w:rPr>
                <w:rFonts w:ascii="楷体" w:eastAsia="楷体" w:hAnsi="楷体"/>
                <w:color w:val="010281"/>
              </w:rPr>
              <w:t>liu</w:t>
            </w:r>
            <w:r>
              <w:rPr>
                <w:rFonts w:ascii="楷体" w:eastAsia="楷体" w:hAnsi="楷体" w:hint="eastAsia"/>
                <w:color w:val="010281"/>
              </w:rPr>
              <w:t>jl</w:t>
            </w:r>
            <w:r w:rsidRPr="00BF3185">
              <w:rPr>
                <w:rFonts w:ascii="楷体" w:eastAsia="楷体" w:hAnsi="楷体"/>
                <w:color w:val="010281"/>
              </w:rPr>
              <w:t>@xzfutures.com</w:t>
            </w:r>
          </w:p>
        </w:tc>
        <w:tc>
          <w:tcPr>
            <w:tcW w:w="851" w:type="dxa"/>
            <w:vMerge w:val="restart"/>
            <w:tcBorders>
              <w:top w:val="single" w:sz="18" w:space="0" w:color="010281"/>
            </w:tcBorders>
          </w:tcPr>
          <w:p w:rsidR="004178BC" w:rsidRPr="00F37149" w:rsidRDefault="004178BC" w:rsidP="006023CB">
            <w:pPr>
              <w:ind w:rightChars="454" w:right="999" w:firstLineChars="0" w:firstLine="0"/>
              <w:rPr>
                <w:color w:val="010381"/>
              </w:rPr>
            </w:pPr>
          </w:p>
        </w:tc>
        <w:tc>
          <w:tcPr>
            <w:tcW w:w="5812" w:type="dxa"/>
            <w:vMerge w:val="restart"/>
            <w:tcBorders>
              <w:top w:val="single" w:sz="18" w:space="0" w:color="010281"/>
            </w:tcBorders>
          </w:tcPr>
          <w:p w:rsidR="004178BC" w:rsidRPr="00F37149" w:rsidRDefault="004178BC" w:rsidP="006023CB">
            <w:pPr>
              <w:wordWrap w:val="0"/>
              <w:ind w:firstLineChars="0" w:firstLine="0"/>
              <w:jc w:val="right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 xml:space="preserve">                              2017</w:t>
            </w:r>
            <w:r>
              <w:rPr>
                <w:rFonts w:hint="eastAsia"/>
                <w:color w:val="auto"/>
                <w:szCs w:val="22"/>
              </w:rPr>
              <w:t>年</w:t>
            </w:r>
            <w:r>
              <w:rPr>
                <w:rFonts w:hint="eastAsia"/>
                <w:color w:val="auto"/>
                <w:szCs w:val="22"/>
              </w:rPr>
              <w:t>8</w:t>
            </w:r>
            <w:r>
              <w:rPr>
                <w:rFonts w:hint="eastAsia"/>
                <w:color w:val="auto"/>
                <w:szCs w:val="22"/>
              </w:rPr>
              <w:t>月</w:t>
            </w:r>
            <w:r>
              <w:rPr>
                <w:rFonts w:hint="eastAsia"/>
                <w:color w:val="auto"/>
                <w:szCs w:val="22"/>
              </w:rPr>
              <w:t>1</w:t>
            </w:r>
            <w:r>
              <w:rPr>
                <w:rFonts w:hint="eastAsia"/>
                <w:color w:val="auto"/>
                <w:szCs w:val="22"/>
              </w:rPr>
              <w:t>日</w:t>
            </w:r>
            <w:r>
              <w:rPr>
                <w:rFonts w:hint="eastAsia"/>
                <w:color w:val="auto"/>
                <w:szCs w:val="22"/>
              </w:rPr>
              <w:t xml:space="preserve"> </w:t>
            </w:r>
            <w:r>
              <w:rPr>
                <w:rFonts w:hint="eastAsia"/>
                <w:color w:val="auto"/>
                <w:szCs w:val="22"/>
              </w:rPr>
              <w:t>星期二</w:t>
            </w:r>
          </w:p>
          <w:p w:rsidR="004178BC" w:rsidRPr="00054A12" w:rsidRDefault="004178BC" w:rsidP="006023CB">
            <w:pPr>
              <w:ind w:firstLineChars="0" w:firstLine="0"/>
              <w:jc w:val="left"/>
              <w:rPr>
                <w:rStyle w:val="a9"/>
              </w:rPr>
            </w:pPr>
            <w:r w:rsidRPr="00054A12">
              <w:rPr>
                <w:rStyle w:val="a9"/>
                <w:rFonts w:hint="eastAsia"/>
              </w:rPr>
              <w:t>内容提要</w:t>
            </w:r>
          </w:p>
          <w:p w:rsidR="004178BC" w:rsidRPr="00CA4659" w:rsidRDefault="004178BC" w:rsidP="00681F35">
            <w:pPr>
              <w:pStyle w:val="a"/>
              <w:numPr>
                <w:ilvl w:val="0"/>
                <w:numId w:val="3"/>
              </w:numPr>
              <w:spacing w:beforeLines="0" w:beforeAutospacing="1"/>
              <w:rPr>
                <w:rStyle w:val="ae"/>
                <w:sz w:val="28"/>
              </w:rPr>
            </w:pPr>
            <w:r w:rsidRPr="00CA4659">
              <w:rPr>
                <w:rStyle w:val="ae"/>
                <w:rFonts w:hint="eastAsia"/>
                <w:sz w:val="28"/>
              </w:rPr>
              <w:t>行情回顾</w:t>
            </w:r>
            <w:r>
              <w:rPr>
                <w:rStyle w:val="ae"/>
                <w:rFonts w:hint="eastAsia"/>
                <w:sz w:val="28"/>
              </w:rPr>
              <w:t>与后期走势观点</w:t>
            </w:r>
          </w:p>
          <w:p w:rsidR="004178BC" w:rsidRPr="000B2373" w:rsidRDefault="000873A9" w:rsidP="000873A9">
            <w:pPr>
              <w:ind w:firstLine="440"/>
              <w:rPr>
                <w:szCs w:val="22"/>
              </w:rPr>
            </w:pPr>
            <w:r>
              <w:rPr>
                <w:rFonts w:hint="eastAsia"/>
                <w:szCs w:val="22"/>
              </w:rPr>
              <w:t>“禁废令”的出台使得塑料期货价格涨停，不过利好可能相对有限，价格也出现了回落调整</w:t>
            </w:r>
            <w:r w:rsidRPr="002C0E1F">
              <w:rPr>
                <w:rFonts w:hint="eastAsia"/>
                <w:color w:val="auto"/>
              </w:rPr>
              <w:t>。</w:t>
            </w:r>
            <w:r>
              <w:rPr>
                <w:rFonts w:hint="eastAsia"/>
                <w:color w:val="auto"/>
              </w:rPr>
              <w:t>后期来看，供应压力较大，一方面是前期集中检修结束，另一方面是新产能或面临投放，当然新产能投放也可能出现推迟。从下游需求来看，</w:t>
            </w:r>
            <w:r>
              <w:rPr>
                <w:rFonts w:hint="eastAsia"/>
                <w:color w:val="auto"/>
              </w:rPr>
              <w:t>7</w:t>
            </w:r>
            <w:r>
              <w:rPr>
                <w:rFonts w:hint="eastAsia"/>
                <w:color w:val="auto"/>
              </w:rPr>
              <w:t>月份是淡季，</w:t>
            </w:r>
            <w:r>
              <w:rPr>
                <w:rFonts w:hint="eastAsia"/>
                <w:color w:val="auto"/>
              </w:rPr>
              <w:t>8</w:t>
            </w:r>
            <w:r>
              <w:rPr>
                <w:rFonts w:hint="eastAsia"/>
                <w:color w:val="auto"/>
              </w:rPr>
              <w:t>月份会开始好转，但是今年环保督查严格，终端开工降低，需求可能减少。总体来看，后市可能不如往年乐观，短期区间内波动为主，仅供参考</w:t>
            </w:r>
            <w:r w:rsidR="004178BC" w:rsidRPr="002C0E1F">
              <w:rPr>
                <w:rFonts w:hint="eastAsia"/>
                <w:color w:val="auto"/>
              </w:rPr>
              <w:t>。</w:t>
            </w:r>
          </w:p>
        </w:tc>
      </w:tr>
      <w:tr w:rsidR="004178BC" w:rsidRPr="00054A12" w:rsidTr="004178BC">
        <w:tblPrEx>
          <w:tblBorders>
            <w:bottom w:val="single" w:sz="18" w:space="0" w:color="010281"/>
          </w:tblBorders>
        </w:tblPrEx>
        <w:trPr>
          <w:trHeight w:val="2335"/>
        </w:trPr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4178BC" w:rsidRPr="00F37149" w:rsidRDefault="004178BC" w:rsidP="004178BC">
            <w:pPr>
              <w:ind w:right="440" w:firstLineChars="0" w:firstLine="0"/>
              <w:rPr>
                <w:rFonts w:hAnsi="楷体"/>
                <w:color w:val="010381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4178BC" w:rsidRPr="00F37149" w:rsidRDefault="004178BC" w:rsidP="006023CB">
            <w:pPr>
              <w:ind w:rightChars="454" w:right="999" w:firstLineChars="0" w:firstLine="0"/>
              <w:rPr>
                <w:color w:val="010381"/>
              </w:rPr>
            </w:pPr>
          </w:p>
        </w:tc>
        <w:tc>
          <w:tcPr>
            <w:tcW w:w="5812" w:type="dxa"/>
            <w:vMerge/>
            <w:tcBorders>
              <w:bottom w:val="nil"/>
            </w:tcBorders>
          </w:tcPr>
          <w:p w:rsidR="004178BC" w:rsidRPr="00054A12" w:rsidRDefault="004178BC" w:rsidP="006023CB">
            <w:pPr>
              <w:ind w:firstLineChars="0" w:firstLine="0"/>
              <w:jc w:val="right"/>
            </w:pPr>
          </w:p>
        </w:tc>
      </w:tr>
    </w:tbl>
    <w:p w:rsidR="004A6A9F" w:rsidRPr="004A6A9F" w:rsidRDefault="004A6A9F" w:rsidP="004A6A9F">
      <w:pPr>
        <w:ind w:firstLineChars="0" w:firstLine="0"/>
        <w:rPr>
          <w:rFonts w:ascii="华文细黑" w:hAnsi="华文细黑"/>
          <w:szCs w:val="22"/>
        </w:rPr>
        <w:sectPr w:rsidR="004A6A9F" w:rsidRPr="004A6A9F" w:rsidSect="00D9185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616" w:right="1418" w:bottom="1616" w:left="4820" w:header="851" w:footer="992" w:gutter="0"/>
          <w:cols w:space="425"/>
          <w:docGrid w:type="lines" w:linePitch="326" w:charSpace="130252"/>
        </w:sectPr>
      </w:pPr>
    </w:p>
    <w:p w:rsidR="001D4384" w:rsidRPr="001D4384" w:rsidRDefault="001D4384" w:rsidP="00D57594">
      <w:pPr>
        <w:pStyle w:val="1"/>
        <w:spacing w:before="326"/>
      </w:pPr>
      <w:r>
        <w:rPr>
          <w:rFonts w:hint="eastAsia"/>
        </w:rPr>
        <w:lastRenderedPageBreak/>
        <w:t>1</w:t>
      </w:r>
      <w:r w:rsidRPr="001D4384">
        <w:rPr>
          <w:rFonts w:hint="eastAsia"/>
        </w:rPr>
        <w:t>.</w:t>
      </w:r>
      <w:r w:rsidRPr="001D4384">
        <w:rPr>
          <w:rFonts w:hint="eastAsia"/>
        </w:rPr>
        <w:t>行情回顾</w:t>
      </w:r>
    </w:p>
    <w:p w:rsidR="001D4384" w:rsidRPr="001D4384" w:rsidRDefault="004178BC" w:rsidP="001D4384">
      <w:pPr>
        <w:pStyle w:val="21"/>
        <w:spacing w:before="163"/>
      </w:pPr>
      <w:r>
        <w:rPr>
          <w:rFonts w:hint="eastAsia"/>
        </w:rPr>
        <w:t>塑料价格冲高回落</w:t>
      </w:r>
    </w:p>
    <w:tbl>
      <w:tblPr>
        <w:tblW w:w="5000" w:type="pct"/>
        <w:jc w:val="center"/>
        <w:tblBorders>
          <w:insideH w:val="single" w:sz="4" w:space="0" w:color="010281"/>
          <w:insideV w:val="single" w:sz="4" w:space="0" w:color="4F81BD"/>
        </w:tblBorders>
        <w:tblLook w:val="0000"/>
      </w:tblPr>
      <w:tblGrid>
        <w:gridCol w:w="9287"/>
      </w:tblGrid>
      <w:tr w:rsidR="005D1686" w:rsidRPr="00054A12" w:rsidTr="00C66F6F">
        <w:trPr>
          <w:trHeight w:val="317"/>
          <w:jc w:val="center"/>
        </w:trPr>
        <w:tc>
          <w:tcPr>
            <w:tcW w:w="9287" w:type="dxa"/>
            <w:tcBorders>
              <w:top w:val="single" w:sz="4" w:space="0" w:color="011380"/>
              <w:bottom w:val="single" w:sz="4" w:space="0" w:color="010281"/>
            </w:tcBorders>
          </w:tcPr>
          <w:p w:rsidR="005D1686" w:rsidRPr="00054A12" w:rsidRDefault="005D1686" w:rsidP="0069198C">
            <w:pPr>
              <w:pStyle w:val="aa"/>
              <w:ind w:firstLineChars="0" w:firstLine="0"/>
              <w:rPr>
                <w:rFonts w:cs="宋体"/>
                <w:color w:val="auto"/>
              </w:rPr>
            </w:pPr>
            <w:r w:rsidRPr="002E3981">
              <w:rPr>
                <w:rFonts w:ascii="华文细黑" w:hAnsi="华文细黑" w:hint="eastAsia"/>
                <w:color w:val="auto"/>
                <w:kern w:val="2"/>
                <w:sz w:val="21"/>
              </w:rPr>
              <w:t>图</w:t>
            </w:r>
            <w:r w:rsidRPr="00F4428D">
              <w:rPr>
                <w:color w:val="auto"/>
                <w:kern w:val="2"/>
                <w:sz w:val="21"/>
              </w:rPr>
              <w:t>1</w:t>
            </w:r>
            <w:r w:rsidRPr="002E3981">
              <w:rPr>
                <w:rFonts w:ascii="华文细黑" w:hAnsi="华文细黑" w:hint="eastAsia"/>
                <w:color w:val="auto"/>
                <w:kern w:val="2"/>
                <w:sz w:val="21"/>
              </w:rPr>
              <w:t>：</w:t>
            </w:r>
            <w:r w:rsidR="0069198C">
              <w:rPr>
                <w:rFonts w:ascii="华文细黑" w:hAnsi="华文细黑" w:hint="eastAsia"/>
                <w:color w:val="auto"/>
                <w:kern w:val="2"/>
                <w:sz w:val="21"/>
              </w:rPr>
              <w:t>LLDPE期货1801合约日线图</w:t>
            </w:r>
          </w:p>
        </w:tc>
      </w:tr>
      <w:tr w:rsidR="005D1686" w:rsidRPr="00054A12" w:rsidTr="00C66F6F">
        <w:trPr>
          <w:trHeight w:val="2915"/>
          <w:jc w:val="center"/>
        </w:trPr>
        <w:tc>
          <w:tcPr>
            <w:tcW w:w="0" w:type="dxa"/>
            <w:tcBorders>
              <w:top w:val="single" w:sz="4" w:space="0" w:color="010281"/>
              <w:bottom w:val="single" w:sz="4" w:space="0" w:color="010281"/>
            </w:tcBorders>
          </w:tcPr>
          <w:p w:rsidR="005D1686" w:rsidRPr="00054A12" w:rsidRDefault="00C17C9A" w:rsidP="00C66F6F">
            <w:pPr>
              <w:ind w:firstLineChars="0" w:firstLine="0"/>
            </w:pPr>
            <w:r>
              <w:rPr>
                <w:noProof/>
              </w:rPr>
              <w:drawing>
                <wp:inline distT="0" distB="0" distL="0" distR="0">
                  <wp:extent cx="5753100" cy="2895600"/>
                  <wp:effectExtent l="1905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289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686" w:rsidRPr="00054A12" w:rsidTr="00C66F6F">
        <w:trPr>
          <w:trHeight w:val="71"/>
          <w:jc w:val="center"/>
        </w:trPr>
        <w:tc>
          <w:tcPr>
            <w:tcW w:w="9287" w:type="dxa"/>
            <w:tcBorders>
              <w:top w:val="single" w:sz="4" w:space="0" w:color="010281"/>
              <w:bottom w:val="single" w:sz="4" w:space="0" w:color="011380"/>
            </w:tcBorders>
          </w:tcPr>
          <w:p w:rsidR="005D1686" w:rsidRPr="00054A12" w:rsidRDefault="005D1686" w:rsidP="00C66F6F">
            <w:pPr>
              <w:pStyle w:val="ab"/>
              <w:ind w:firstLineChars="0" w:firstLine="0"/>
              <w:rPr>
                <w:color w:val="auto"/>
                <w:sz w:val="22"/>
              </w:rPr>
            </w:pPr>
            <w:r w:rsidRPr="00054A12">
              <w:rPr>
                <w:rFonts w:hAnsi="华文细黑" w:cs="宋体" w:hint="eastAsia"/>
                <w:sz w:val="18"/>
                <w:szCs w:val="18"/>
              </w:rPr>
              <w:t>数据来源：</w:t>
            </w:r>
            <w:r w:rsidRPr="00054A12">
              <w:rPr>
                <w:rFonts w:hint="eastAsia"/>
                <w:sz w:val="18"/>
                <w:szCs w:val="18"/>
              </w:rPr>
              <w:t>WIND</w:t>
            </w:r>
            <w:r w:rsidRPr="00054A12">
              <w:rPr>
                <w:rFonts w:hAnsi="华文细黑" w:cs="宋体" w:hint="eastAsia"/>
                <w:sz w:val="18"/>
                <w:szCs w:val="18"/>
              </w:rPr>
              <w:t>，</w:t>
            </w:r>
            <w:proofErr w:type="gramStart"/>
            <w:r w:rsidRPr="00054A12">
              <w:rPr>
                <w:rFonts w:hAnsi="华文细黑" w:cs="宋体" w:hint="eastAsia"/>
                <w:sz w:val="18"/>
                <w:szCs w:val="18"/>
              </w:rPr>
              <w:t>兴证期货</w:t>
            </w:r>
            <w:proofErr w:type="gramEnd"/>
            <w:r w:rsidRPr="00054A12">
              <w:rPr>
                <w:rFonts w:hAnsi="华文细黑" w:cs="宋体" w:hint="eastAsia"/>
                <w:sz w:val="18"/>
                <w:szCs w:val="18"/>
              </w:rPr>
              <w:t>研发部</w:t>
            </w:r>
          </w:p>
        </w:tc>
      </w:tr>
    </w:tbl>
    <w:p w:rsidR="00AE7DB0" w:rsidRDefault="00D57594" w:rsidP="00AE7DB0">
      <w:pPr>
        <w:ind w:firstLine="440"/>
        <w:rPr>
          <w:rFonts w:hint="eastAsia"/>
        </w:rPr>
      </w:pPr>
      <w:r>
        <w:rPr>
          <w:rFonts w:hint="eastAsia"/>
        </w:rPr>
        <w:t>7</w:t>
      </w:r>
      <w:r w:rsidR="001D4384" w:rsidRPr="001D4384">
        <w:rPr>
          <w:rFonts w:hint="eastAsia"/>
        </w:rPr>
        <w:t>月</w:t>
      </w:r>
      <w:r w:rsidR="00C17C9A">
        <w:rPr>
          <w:rFonts w:hint="eastAsia"/>
        </w:rPr>
        <w:t>上旬和中旬，国内</w:t>
      </w:r>
      <w:r w:rsidR="00C17C9A">
        <w:rPr>
          <w:rFonts w:hint="eastAsia"/>
        </w:rPr>
        <w:t>LLDPE</w:t>
      </w:r>
      <w:r w:rsidR="00C17C9A">
        <w:rPr>
          <w:rFonts w:hint="eastAsia"/>
        </w:rPr>
        <w:t>期货价格主要以震荡上行为主，</w:t>
      </w:r>
      <w:r w:rsidR="004005F5">
        <w:rPr>
          <w:rFonts w:hint="eastAsia"/>
        </w:rPr>
        <w:t>7</w:t>
      </w:r>
      <w:r w:rsidR="004005F5">
        <w:rPr>
          <w:rFonts w:hint="eastAsia"/>
        </w:rPr>
        <w:t>月</w:t>
      </w:r>
      <w:r w:rsidR="004005F5">
        <w:rPr>
          <w:rFonts w:hint="eastAsia"/>
        </w:rPr>
        <w:t>20</w:t>
      </w:r>
      <w:r w:rsidR="004005F5">
        <w:rPr>
          <w:rFonts w:hint="eastAsia"/>
        </w:rPr>
        <w:t>日，因“禁废令”的影响，远月合约出现涨停。不过随着利好影响消退，期价连续回落。截至</w:t>
      </w:r>
      <w:r w:rsidR="004005F5">
        <w:rPr>
          <w:rFonts w:hint="eastAsia"/>
        </w:rPr>
        <w:t>7</w:t>
      </w:r>
      <w:r w:rsidR="004005F5">
        <w:rPr>
          <w:rFonts w:hint="eastAsia"/>
        </w:rPr>
        <w:t>月</w:t>
      </w:r>
      <w:r w:rsidR="004005F5">
        <w:rPr>
          <w:rFonts w:hint="eastAsia"/>
        </w:rPr>
        <w:t>28</w:t>
      </w:r>
      <w:r w:rsidR="004005F5">
        <w:rPr>
          <w:rFonts w:hint="eastAsia"/>
        </w:rPr>
        <w:t>日，</w:t>
      </w:r>
      <w:r w:rsidR="004005F5">
        <w:rPr>
          <w:rFonts w:hint="eastAsia"/>
        </w:rPr>
        <w:t>LLDPE1801</w:t>
      </w:r>
      <w:r w:rsidR="004005F5">
        <w:rPr>
          <w:rFonts w:hint="eastAsia"/>
        </w:rPr>
        <w:t>合约收于</w:t>
      </w:r>
      <w:r w:rsidR="004005F5">
        <w:rPr>
          <w:rFonts w:hint="eastAsia"/>
        </w:rPr>
        <w:t>9475</w:t>
      </w:r>
      <w:r w:rsidR="004005F5">
        <w:rPr>
          <w:rFonts w:hint="eastAsia"/>
        </w:rPr>
        <w:t>元</w:t>
      </w:r>
      <w:r w:rsidR="004005F5">
        <w:rPr>
          <w:rFonts w:hint="eastAsia"/>
        </w:rPr>
        <w:t>/</w:t>
      </w:r>
      <w:r w:rsidR="004005F5">
        <w:rPr>
          <w:rFonts w:hint="eastAsia"/>
        </w:rPr>
        <w:t>吨，较最高点回落了</w:t>
      </w:r>
      <w:r w:rsidR="004005F5">
        <w:rPr>
          <w:rFonts w:hint="eastAsia"/>
        </w:rPr>
        <w:t>3.8%</w:t>
      </w:r>
      <w:r w:rsidR="004005F5">
        <w:rPr>
          <w:rFonts w:hint="eastAsia"/>
        </w:rPr>
        <w:t>，不过仍较月初上涨了</w:t>
      </w:r>
      <w:r w:rsidR="00BE1CF7">
        <w:rPr>
          <w:rFonts w:hint="eastAsia"/>
        </w:rPr>
        <w:t>6.6%</w:t>
      </w:r>
      <w:r w:rsidR="00BE1CF7">
        <w:rPr>
          <w:rFonts w:hint="eastAsia"/>
        </w:rPr>
        <w:t>。</w:t>
      </w:r>
    </w:p>
    <w:p w:rsidR="00AE7DB0" w:rsidRDefault="00AE7DB0" w:rsidP="00AE7DB0">
      <w:pPr>
        <w:ind w:firstLine="440"/>
        <w:rPr>
          <w:rFonts w:hint="eastAsia"/>
        </w:rPr>
      </w:pPr>
      <w:r w:rsidRPr="00AE7DB0">
        <w:rPr>
          <w:rFonts w:hint="eastAsia"/>
        </w:rPr>
        <w:t>关于“禁废令”，其主要内容是：</w:t>
      </w:r>
      <w:r w:rsidRPr="00AE7DB0">
        <w:t>中国于</w:t>
      </w:r>
      <w:r w:rsidRPr="00AE7DB0">
        <w:t>7</w:t>
      </w:r>
      <w:r w:rsidRPr="00AE7DB0">
        <w:t>月</w:t>
      </w:r>
      <w:r w:rsidRPr="00AE7DB0">
        <w:t>18</w:t>
      </w:r>
      <w:r w:rsidRPr="00AE7DB0">
        <w:t>日正式通知世界贸易组织，表示今年底开始将不再接收外来垃圾，包括废弃塑胶、纸类、废弃炉渣、与纺织品</w:t>
      </w:r>
      <w:r w:rsidRPr="00AE7DB0">
        <w:rPr>
          <w:rFonts w:hint="eastAsia"/>
        </w:rPr>
        <w:t>，其中废塑料涉及的五个相关税则号都包含在内。</w:t>
      </w:r>
    </w:p>
    <w:p w:rsidR="00AE7DB0" w:rsidRDefault="00AE7DB0" w:rsidP="00AE7DB0">
      <w:pPr>
        <w:ind w:firstLine="440"/>
        <w:rPr>
          <w:rFonts w:hint="eastAsia"/>
        </w:rPr>
      </w:pPr>
      <w:r w:rsidRPr="00AE7DB0">
        <w:rPr>
          <w:rFonts w:hint="eastAsia"/>
        </w:rPr>
        <w:t>在</w:t>
      </w:r>
      <w:r w:rsidRPr="00AE7DB0">
        <w:rPr>
          <w:rFonts w:hint="eastAsia"/>
        </w:rPr>
        <w:t>2012</w:t>
      </w:r>
      <w:r w:rsidRPr="00AE7DB0">
        <w:rPr>
          <w:rFonts w:hint="eastAsia"/>
        </w:rPr>
        <w:t>年之前，我国废塑料进口量是呈现持续攀升的态势，年均增长率在</w:t>
      </w:r>
      <w:r w:rsidRPr="00AE7DB0">
        <w:rPr>
          <w:rFonts w:hint="eastAsia"/>
        </w:rPr>
        <w:t>4.2%</w:t>
      </w:r>
      <w:r w:rsidRPr="00AE7DB0">
        <w:rPr>
          <w:rFonts w:hint="eastAsia"/>
        </w:rPr>
        <w:t>左右。但是在可回收的废塑料当中，常掺杂有高污染垃圾与危险性废物，污染环境。所以随着近几年国内环保维持高压态势，废塑料的进口量总体呈现下降趋势，</w:t>
      </w:r>
      <w:r w:rsidRPr="00AE7DB0">
        <w:rPr>
          <w:rFonts w:hint="eastAsia"/>
        </w:rPr>
        <w:t>2016</w:t>
      </w:r>
      <w:r w:rsidRPr="00AE7DB0">
        <w:rPr>
          <w:rFonts w:hint="eastAsia"/>
        </w:rPr>
        <w:t>全年共进口</w:t>
      </w:r>
      <w:r w:rsidRPr="00AE7DB0">
        <w:rPr>
          <w:rFonts w:hint="eastAsia"/>
        </w:rPr>
        <w:t>735</w:t>
      </w:r>
      <w:r w:rsidRPr="00AE7DB0">
        <w:rPr>
          <w:rFonts w:hint="eastAsia"/>
        </w:rPr>
        <w:t>万吨，较</w:t>
      </w:r>
      <w:r w:rsidRPr="00AE7DB0">
        <w:rPr>
          <w:rFonts w:hint="eastAsia"/>
        </w:rPr>
        <w:t>2012</w:t>
      </w:r>
      <w:r w:rsidRPr="00AE7DB0">
        <w:rPr>
          <w:rFonts w:hint="eastAsia"/>
        </w:rPr>
        <w:t>年下降</w:t>
      </w:r>
      <w:r w:rsidRPr="00AE7DB0">
        <w:rPr>
          <w:rFonts w:hint="eastAsia"/>
        </w:rPr>
        <w:t>17.2%</w:t>
      </w:r>
      <w:r w:rsidRPr="00AE7DB0">
        <w:rPr>
          <w:rFonts w:hint="eastAsia"/>
        </w:rPr>
        <w:t>。</w:t>
      </w:r>
    </w:p>
    <w:p w:rsidR="00AE7DB0" w:rsidRDefault="00AE7DB0" w:rsidP="00AE7DB0">
      <w:pPr>
        <w:ind w:firstLine="440"/>
        <w:rPr>
          <w:rFonts w:hint="eastAsia"/>
        </w:rPr>
      </w:pPr>
      <w:r w:rsidRPr="00AE7DB0">
        <w:rPr>
          <w:rFonts w:hint="eastAsia"/>
        </w:rPr>
        <w:t>具体到各品种的进口数量占比来看，</w:t>
      </w:r>
      <w:r w:rsidRPr="00AE7DB0">
        <w:rPr>
          <w:rFonts w:hint="eastAsia"/>
        </w:rPr>
        <w:t>2016</w:t>
      </w:r>
      <w:r w:rsidRPr="00AE7DB0">
        <w:rPr>
          <w:rFonts w:hint="eastAsia"/>
        </w:rPr>
        <w:t>年再生</w:t>
      </w:r>
      <w:r w:rsidRPr="00AE7DB0">
        <w:rPr>
          <w:rFonts w:hint="eastAsia"/>
        </w:rPr>
        <w:t>PET</w:t>
      </w:r>
      <w:r w:rsidRPr="00AE7DB0">
        <w:rPr>
          <w:rFonts w:hint="eastAsia"/>
        </w:rPr>
        <w:t>占比</w:t>
      </w:r>
      <w:r w:rsidRPr="00AE7DB0">
        <w:rPr>
          <w:rFonts w:hint="eastAsia"/>
        </w:rPr>
        <w:t>35%</w:t>
      </w:r>
      <w:r w:rsidRPr="00AE7DB0">
        <w:rPr>
          <w:rFonts w:hint="eastAsia"/>
        </w:rPr>
        <w:t>，再生</w:t>
      </w:r>
      <w:r w:rsidRPr="00AE7DB0">
        <w:rPr>
          <w:rFonts w:hint="eastAsia"/>
        </w:rPr>
        <w:t>PE</w:t>
      </w:r>
      <w:r w:rsidRPr="00AE7DB0">
        <w:rPr>
          <w:rFonts w:hint="eastAsia"/>
        </w:rPr>
        <w:t>占比</w:t>
      </w:r>
      <w:r w:rsidRPr="00AE7DB0">
        <w:rPr>
          <w:rFonts w:hint="eastAsia"/>
        </w:rPr>
        <w:t>34%</w:t>
      </w:r>
      <w:r w:rsidRPr="00AE7DB0">
        <w:rPr>
          <w:rFonts w:hint="eastAsia"/>
        </w:rPr>
        <w:t>，再生</w:t>
      </w:r>
      <w:r w:rsidRPr="00AE7DB0">
        <w:rPr>
          <w:rFonts w:hint="eastAsia"/>
        </w:rPr>
        <w:t>PP</w:t>
      </w:r>
      <w:r w:rsidRPr="00AE7DB0">
        <w:rPr>
          <w:rFonts w:hint="eastAsia"/>
        </w:rPr>
        <w:t>占比</w:t>
      </w:r>
      <w:r w:rsidRPr="00AE7DB0">
        <w:rPr>
          <w:rFonts w:hint="eastAsia"/>
        </w:rPr>
        <w:t>12%</w:t>
      </w:r>
      <w:r w:rsidRPr="00AE7DB0">
        <w:rPr>
          <w:rFonts w:hint="eastAsia"/>
        </w:rPr>
        <w:t>，再生</w:t>
      </w:r>
      <w:r w:rsidRPr="00AE7DB0">
        <w:rPr>
          <w:rFonts w:hint="eastAsia"/>
        </w:rPr>
        <w:t>PVC</w:t>
      </w:r>
      <w:r w:rsidRPr="00AE7DB0">
        <w:rPr>
          <w:rFonts w:hint="eastAsia"/>
        </w:rPr>
        <w:t>占比</w:t>
      </w:r>
      <w:r w:rsidRPr="00AE7DB0">
        <w:rPr>
          <w:rFonts w:hint="eastAsia"/>
        </w:rPr>
        <w:t>6%</w:t>
      </w:r>
      <w:r w:rsidRPr="00AE7DB0">
        <w:rPr>
          <w:rFonts w:hint="eastAsia"/>
        </w:rPr>
        <w:t>，其它占比</w:t>
      </w:r>
      <w:r w:rsidRPr="00AE7DB0">
        <w:rPr>
          <w:rFonts w:hint="eastAsia"/>
        </w:rPr>
        <w:t>13%</w:t>
      </w:r>
      <w:r w:rsidRPr="00AE7DB0">
        <w:rPr>
          <w:rFonts w:hint="eastAsia"/>
        </w:rPr>
        <w:t>。</w:t>
      </w:r>
      <w:r>
        <w:rPr>
          <w:rFonts w:hint="eastAsia"/>
        </w:rPr>
        <w:t>通过计算，可得出</w:t>
      </w:r>
      <w:r>
        <w:rPr>
          <w:rFonts w:hint="eastAsia"/>
        </w:rPr>
        <w:t>2016</w:t>
      </w:r>
      <w:r>
        <w:rPr>
          <w:rFonts w:hint="eastAsia"/>
        </w:rPr>
        <w:t>年进口的再生</w:t>
      </w:r>
      <w:r>
        <w:rPr>
          <w:rFonts w:hint="eastAsia"/>
        </w:rPr>
        <w:t>PE</w:t>
      </w:r>
      <w:r>
        <w:rPr>
          <w:rFonts w:hint="eastAsia"/>
        </w:rPr>
        <w:t>为</w:t>
      </w:r>
      <w:r>
        <w:rPr>
          <w:rFonts w:hint="eastAsia"/>
        </w:rPr>
        <w:t>250</w:t>
      </w:r>
      <w:r>
        <w:rPr>
          <w:rFonts w:hint="eastAsia"/>
        </w:rPr>
        <w:t>万吨，而</w:t>
      </w:r>
      <w:r>
        <w:rPr>
          <w:rFonts w:hint="eastAsia"/>
        </w:rPr>
        <w:t>2016</w:t>
      </w:r>
      <w:r>
        <w:rPr>
          <w:rFonts w:hint="eastAsia"/>
        </w:rPr>
        <w:t>年国内</w:t>
      </w:r>
      <w:r>
        <w:rPr>
          <w:rFonts w:hint="eastAsia"/>
        </w:rPr>
        <w:t>PE</w:t>
      </w:r>
      <w:r>
        <w:rPr>
          <w:rFonts w:hint="eastAsia"/>
        </w:rPr>
        <w:t>的表观消费量为</w:t>
      </w:r>
      <w:r>
        <w:rPr>
          <w:rFonts w:hint="eastAsia"/>
        </w:rPr>
        <w:t>2380</w:t>
      </w:r>
      <w:r>
        <w:rPr>
          <w:rFonts w:hint="eastAsia"/>
        </w:rPr>
        <w:t>万吨，所以进口再生</w:t>
      </w:r>
      <w:r>
        <w:rPr>
          <w:rFonts w:hint="eastAsia"/>
        </w:rPr>
        <w:t>PE</w:t>
      </w:r>
      <w:r>
        <w:rPr>
          <w:rFonts w:hint="eastAsia"/>
        </w:rPr>
        <w:t>占国内</w:t>
      </w:r>
      <w:r>
        <w:rPr>
          <w:rFonts w:hint="eastAsia"/>
        </w:rPr>
        <w:t>PE</w:t>
      </w:r>
      <w:r>
        <w:rPr>
          <w:rFonts w:hint="eastAsia"/>
        </w:rPr>
        <w:t>表观消费量的</w:t>
      </w:r>
      <w:r>
        <w:rPr>
          <w:rFonts w:hint="eastAsia"/>
        </w:rPr>
        <w:t>10.5%</w:t>
      </w:r>
      <w:r>
        <w:rPr>
          <w:rFonts w:hint="eastAsia"/>
        </w:rPr>
        <w:t>，</w:t>
      </w:r>
      <w:r>
        <w:rPr>
          <w:rFonts w:hint="eastAsia"/>
        </w:rPr>
        <w:t>LLDPE</w:t>
      </w:r>
      <w:r>
        <w:rPr>
          <w:rFonts w:hint="eastAsia"/>
        </w:rPr>
        <w:t>的占比会更少些。</w:t>
      </w:r>
    </w:p>
    <w:p w:rsidR="001D4384" w:rsidRPr="001D4384" w:rsidRDefault="001D4384" w:rsidP="00D57594">
      <w:pPr>
        <w:pStyle w:val="1"/>
        <w:spacing w:before="326"/>
      </w:pPr>
      <w:r w:rsidRPr="001D4384">
        <w:rPr>
          <w:rFonts w:hint="eastAsia"/>
        </w:rPr>
        <w:t>2.</w:t>
      </w:r>
      <w:r w:rsidRPr="001D4384">
        <w:rPr>
          <w:rFonts w:hint="eastAsia"/>
        </w:rPr>
        <w:t>基本面分析</w:t>
      </w:r>
    </w:p>
    <w:p w:rsidR="001D4384" w:rsidRPr="001D4384" w:rsidRDefault="004178BC" w:rsidP="001D4384">
      <w:pPr>
        <w:pStyle w:val="21"/>
        <w:spacing w:before="163"/>
      </w:pPr>
      <w:r>
        <w:rPr>
          <w:rFonts w:hint="eastAsia"/>
        </w:rPr>
        <w:t>国际原油价格震荡上行</w:t>
      </w:r>
    </w:p>
    <w:tbl>
      <w:tblPr>
        <w:tblW w:w="5000" w:type="pct"/>
        <w:jc w:val="center"/>
        <w:tblBorders>
          <w:insideH w:val="single" w:sz="4" w:space="0" w:color="010281"/>
          <w:insideV w:val="single" w:sz="4" w:space="0" w:color="4F81BD"/>
        </w:tblBorders>
        <w:tblLook w:val="0000"/>
      </w:tblPr>
      <w:tblGrid>
        <w:gridCol w:w="9287"/>
      </w:tblGrid>
      <w:tr w:rsidR="005D1686" w:rsidRPr="00054A12" w:rsidTr="00C66F6F">
        <w:trPr>
          <w:trHeight w:val="317"/>
          <w:jc w:val="center"/>
        </w:trPr>
        <w:tc>
          <w:tcPr>
            <w:tcW w:w="9287" w:type="dxa"/>
            <w:tcBorders>
              <w:top w:val="single" w:sz="4" w:space="0" w:color="011380"/>
              <w:bottom w:val="single" w:sz="4" w:space="0" w:color="010281"/>
            </w:tcBorders>
          </w:tcPr>
          <w:p w:rsidR="005D1686" w:rsidRPr="00054A12" w:rsidRDefault="005D1686" w:rsidP="0069198C">
            <w:pPr>
              <w:pStyle w:val="aa"/>
              <w:ind w:firstLineChars="0" w:firstLine="0"/>
              <w:rPr>
                <w:rFonts w:cs="宋体"/>
                <w:color w:val="auto"/>
              </w:rPr>
            </w:pPr>
            <w:r w:rsidRPr="002E3981">
              <w:rPr>
                <w:rFonts w:ascii="华文细黑" w:hAnsi="华文细黑" w:hint="eastAsia"/>
                <w:color w:val="auto"/>
                <w:kern w:val="2"/>
                <w:sz w:val="21"/>
              </w:rPr>
              <w:lastRenderedPageBreak/>
              <w:t>图</w:t>
            </w:r>
            <w:r w:rsidRPr="00A804D0">
              <w:rPr>
                <w:color w:val="auto"/>
                <w:kern w:val="2"/>
                <w:sz w:val="21"/>
              </w:rPr>
              <w:t>2</w:t>
            </w:r>
            <w:r w:rsidRPr="00A804D0">
              <w:rPr>
                <w:color w:val="auto"/>
                <w:kern w:val="2"/>
                <w:sz w:val="21"/>
              </w:rPr>
              <w:t>：</w:t>
            </w:r>
            <w:r w:rsidR="0069198C">
              <w:rPr>
                <w:rFonts w:hint="eastAsia"/>
                <w:color w:val="auto"/>
                <w:kern w:val="2"/>
                <w:sz w:val="21"/>
              </w:rPr>
              <w:t>WTI</w:t>
            </w:r>
            <w:r w:rsidR="0069198C">
              <w:rPr>
                <w:rFonts w:hint="eastAsia"/>
                <w:color w:val="auto"/>
                <w:kern w:val="2"/>
                <w:sz w:val="21"/>
              </w:rPr>
              <w:t>原油期货</w:t>
            </w:r>
            <w:r w:rsidR="0069198C">
              <w:rPr>
                <w:rFonts w:hint="eastAsia"/>
                <w:color w:val="auto"/>
                <w:kern w:val="2"/>
                <w:sz w:val="21"/>
              </w:rPr>
              <w:t>9</w:t>
            </w:r>
            <w:r w:rsidR="0069198C">
              <w:rPr>
                <w:rFonts w:hint="eastAsia"/>
                <w:color w:val="auto"/>
                <w:kern w:val="2"/>
                <w:sz w:val="21"/>
              </w:rPr>
              <w:t>月合约日线图</w:t>
            </w:r>
          </w:p>
        </w:tc>
      </w:tr>
      <w:tr w:rsidR="005D1686" w:rsidRPr="00054A12" w:rsidTr="005D1686">
        <w:trPr>
          <w:trHeight w:val="2915"/>
          <w:jc w:val="center"/>
        </w:trPr>
        <w:tc>
          <w:tcPr>
            <w:tcW w:w="9287" w:type="dxa"/>
            <w:tcBorders>
              <w:top w:val="single" w:sz="4" w:space="0" w:color="010281"/>
              <w:bottom w:val="single" w:sz="4" w:space="0" w:color="010281"/>
            </w:tcBorders>
          </w:tcPr>
          <w:p w:rsidR="005D1686" w:rsidRPr="00054A12" w:rsidRDefault="00BE1CF7" w:rsidP="00C66F6F">
            <w:pPr>
              <w:ind w:firstLineChars="0" w:firstLine="0"/>
            </w:pPr>
            <w:r>
              <w:rPr>
                <w:noProof/>
              </w:rPr>
              <w:drawing>
                <wp:inline distT="0" distB="0" distL="0" distR="0">
                  <wp:extent cx="5753100" cy="2895600"/>
                  <wp:effectExtent l="1905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289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686" w:rsidRPr="00054A12" w:rsidTr="00C66F6F">
        <w:trPr>
          <w:trHeight w:val="71"/>
          <w:jc w:val="center"/>
        </w:trPr>
        <w:tc>
          <w:tcPr>
            <w:tcW w:w="9287" w:type="dxa"/>
            <w:tcBorders>
              <w:top w:val="single" w:sz="4" w:space="0" w:color="010281"/>
              <w:bottom w:val="single" w:sz="4" w:space="0" w:color="011380"/>
            </w:tcBorders>
          </w:tcPr>
          <w:p w:rsidR="005D1686" w:rsidRPr="00054A12" w:rsidRDefault="005D1686" w:rsidP="00BE1CF7">
            <w:pPr>
              <w:pStyle w:val="ab"/>
              <w:ind w:firstLineChars="0" w:firstLine="0"/>
              <w:rPr>
                <w:color w:val="auto"/>
                <w:sz w:val="22"/>
              </w:rPr>
            </w:pPr>
            <w:r w:rsidRPr="00054A12">
              <w:rPr>
                <w:rFonts w:hAnsi="华文细黑" w:cs="宋体" w:hint="eastAsia"/>
                <w:sz w:val="18"/>
                <w:szCs w:val="18"/>
              </w:rPr>
              <w:t>数据来源：</w:t>
            </w:r>
            <w:r w:rsidR="00BE1CF7">
              <w:rPr>
                <w:rFonts w:hAnsi="华文细黑" w:cs="宋体" w:hint="eastAsia"/>
                <w:sz w:val="18"/>
                <w:szCs w:val="18"/>
              </w:rPr>
              <w:t>wind</w:t>
            </w:r>
            <w:r w:rsidRPr="00054A12">
              <w:rPr>
                <w:rFonts w:hAnsi="华文细黑" w:cs="宋体" w:hint="eastAsia"/>
                <w:sz w:val="18"/>
                <w:szCs w:val="18"/>
              </w:rPr>
              <w:t>，</w:t>
            </w:r>
            <w:proofErr w:type="gramStart"/>
            <w:r w:rsidRPr="00054A12">
              <w:rPr>
                <w:rFonts w:hAnsi="华文细黑" w:cs="宋体" w:hint="eastAsia"/>
                <w:sz w:val="18"/>
                <w:szCs w:val="18"/>
              </w:rPr>
              <w:t>兴证期货</w:t>
            </w:r>
            <w:proofErr w:type="gramEnd"/>
            <w:r w:rsidRPr="00054A12">
              <w:rPr>
                <w:rFonts w:hAnsi="华文细黑" w:cs="宋体" w:hint="eastAsia"/>
                <w:sz w:val="18"/>
                <w:szCs w:val="18"/>
              </w:rPr>
              <w:t>研发部</w:t>
            </w:r>
          </w:p>
        </w:tc>
      </w:tr>
    </w:tbl>
    <w:p w:rsidR="00E84FDA" w:rsidRPr="0069198C" w:rsidRDefault="00BE1CF7" w:rsidP="00E84FDA">
      <w:pPr>
        <w:ind w:firstLine="440"/>
        <w:rPr>
          <w:rFonts w:ascii="Microsoft Yahei" w:hAnsi="Microsoft Yahei" w:hint="eastAsia"/>
          <w:color w:val="404040"/>
          <w:shd w:val="clear" w:color="auto" w:fill="FFFFFF"/>
        </w:rPr>
      </w:pPr>
      <w:r>
        <w:rPr>
          <w:rFonts w:hint="eastAsia"/>
        </w:rPr>
        <w:t>7</w:t>
      </w:r>
      <w:r w:rsidR="00013179" w:rsidRPr="0069198C">
        <w:rPr>
          <w:rFonts w:ascii="Microsoft Yahei" w:hAnsi="Microsoft Yahei" w:hint="eastAsia"/>
          <w:color w:val="404040"/>
          <w:shd w:val="clear" w:color="auto" w:fill="FFFFFF"/>
        </w:rPr>
        <w:t>月份</w:t>
      </w:r>
      <w:r w:rsidRPr="0069198C">
        <w:rPr>
          <w:rFonts w:ascii="Microsoft Yahei" w:hAnsi="Microsoft Yahei" w:hint="eastAsia"/>
          <w:color w:val="404040"/>
          <w:shd w:val="clear" w:color="auto" w:fill="FFFFFF"/>
        </w:rPr>
        <w:t>国际原油价格走势呈现震荡上扬的格局，截至</w:t>
      </w:r>
      <w:r w:rsidRPr="0069198C">
        <w:rPr>
          <w:rFonts w:ascii="Microsoft Yahei" w:hAnsi="Microsoft Yahei" w:hint="eastAsia"/>
          <w:color w:val="404040"/>
          <w:shd w:val="clear" w:color="auto" w:fill="FFFFFF"/>
        </w:rPr>
        <w:t>7</w:t>
      </w:r>
      <w:r w:rsidRPr="0069198C">
        <w:rPr>
          <w:rFonts w:ascii="Microsoft Yahei" w:hAnsi="Microsoft Yahei" w:hint="eastAsia"/>
          <w:color w:val="404040"/>
          <w:shd w:val="clear" w:color="auto" w:fill="FFFFFF"/>
        </w:rPr>
        <w:t>月</w:t>
      </w:r>
      <w:r w:rsidRPr="0069198C">
        <w:rPr>
          <w:rFonts w:ascii="Microsoft Yahei" w:hAnsi="Microsoft Yahei" w:hint="eastAsia"/>
          <w:color w:val="404040"/>
          <w:shd w:val="clear" w:color="auto" w:fill="FFFFFF"/>
        </w:rPr>
        <w:t>31</w:t>
      </w:r>
      <w:r w:rsidRPr="0069198C">
        <w:rPr>
          <w:rFonts w:ascii="Microsoft Yahei" w:hAnsi="Microsoft Yahei" w:hint="eastAsia"/>
          <w:color w:val="404040"/>
          <w:shd w:val="clear" w:color="auto" w:fill="FFFFFF"/>
        </w:rPr>
        <w:t>日，</w:t>
      </w:r>
      <w:r w:rsidRPr="0069198C">
        <w:rPr>
          <w:rFonts w:ascii="Microsoft Yahei" w:hAnsi="Microsoft Yahei" w:hint="eastAsia"/>
          <w:color w:val="404040"/>
          <w:shd w:val="clear" w:color="auto" w:fill="FFFFFF"/>
        </w:rPr>
        <w:t>WTI9</w:t>
      </w:r>
      <w:r w:rsidRPr="0069198C">
        <w:rPr>
          <w:rFonts w:ascii="Microsoft Yahei" w:hAnsi="Microsoft Yahei" w:hint="eastAsia"/>
          <w:color w:val="404040"/>
          <w:shd w:val="clear" w:color="auto" w:fill="FFFFFF"/>
        </w:rPr>
        <w:t>月合约最高突破了</w:t>
      </w:r>
      <w:r w:rsidRPr="0069198C">
        <w:rPr>
          <w:rFonts w:ascii="Microsoft Yahei" w:hAnsi="Microsoft Yahei" w:hint="eastAsia"/>
          <w:color w:val="404040"/>
          <w:shd w:val="clear" w:color="auto" w:fill="FFFFFF"/>
        </w:rPr>
        <w:t>50</w:t>
      </w:r>
      <w:r w:rsidRPr="0069198C">
        <w:rPr>
          <w:rFonts w:ascii="Microsoft Yahei" w:hAnsi="Microsoft Yahei" w:hint="eastAsia"/>
          <w:color w:val="404040"/>
          <w:shd w:val="clear" w:color="auto" w:fill="FFFFFF"/>
        </w:rPr>
        <w:t>美元</w:t>
      </w:r>
      <w:r w:rsidRPr="0069198C">
        <w:rPr>
          <w:rFonts w:ascii="Microsoft Yahei" w:hAnsi="Microsoft Yahei" w:hint="eastAsia"/>
          <w:color w:val="404040"/>
          <w:shd w:val="clear" w:color="auto" w:fill="FFFFFF"/>
        </w:rPr>
        <w:t>/</w:t>
      </w:r>
      <w:r w:rsidRPr="0069198C">
        <w:rPr>
          <w:rFonts w:ascii="Microsoft Yahei" w:hAnsi="Microsoft Yahei" w:hint="eastAsia"/>
          <w:color w:val="404040"/>
          <w:shd w:val="clear" w:color="auto" w:fill="FFFFFF"/>
        </w:rPr>
        <w:t>桶，较月初上涨了</w:t>
      </w:r>
      <w:r w:rsidRPr="0069198C">
        <w:rPr>
          <w:rFonts w:ascii="Microsoft Yahei" w:hAnsi="Microsoft Yahei" w:hint="eastAsia"/>
          <w:color w:val="404040"/>
          <w:shd w:val="clear" w:color="auto" w:fill="FFFFFF"/>
        </w:rPr>
        <w:t>5.8%</w:t>
      </w:r>
      <w:r w:rsidRPr="0069198C">
        <w:rPr>
          <w:rFonts w:ascii="Microsoft Yahei" w:hAnsi="Microsoft Yahei" w:hint="eastAsia"/>
          <w:color w:val="404040"/>
          <w:shd w:val="clear" w:color="auto" w:fill="FFFFFF"/>
        </w:rPr>
        <w:t>。</w:t>
      </w:r>
      <w:r w:rsidR="0069198C" w:rsidRPr="0069198C">
        <w:rPr>
          <w:rFonts w:ascii="Microsoft Yahei" w:hAnsi="Microsoft Yahei" w:hint="eastAsia"/>
          <w:color w:val="404040"/>
          <w:shd w:val="clear" w:color="auto" w:fill="FFFFFF"/>
        </w:rPr>
        <w:t>近期原料价格的坚挺</w:t>
      </w:r>
      <w:r w:rsidRPr="0069198C">
        <w:rPr>
          <w:rFonts w:ascii="Microsoft Yahei" w:hAnsi="Microsoft Yahei" w:hint="eastAsia"/>
          <w:color w:val="404040"/>
          <w:shd w:val="clear" w:color="auto" w:fill="FFFFFF"/>
        </w:rPr>
        <w:t>在一定程度上，也支撑了</w:t>
      </w:r>
      <w:r w:rsidRPr="0069198C">
        <w:rPr>
          <w:rFonts w:ascii="Microsoft Yahei" w:hAnsi="Microsoft Yahei" w:hint="eastAsia"/>
          <w:color w:val="404040"/>
          <w:shd w:val="clear" w:color="auto" w:fill="FFFFFF"/>
        </w:rPr>
        <w:t>LLDPE</w:t>
      </w:r>
      <w:r w:rsidRPr="0069198C">
        <w:rPr>
          <w:rFonts w:ascii="Microsoft Yahei" w:hAnsi="Microsoft Yahei" w:hint="eastAsia"/>
          <w:color w:val="404040"/>
          <w:shd w:val="clear" w:color="auto" w:fill="FFFFFF"/>
        </w:rPr>
        <w:t>期货价格的反弹。</w:t>
      </w:r>
    </w:p>
    <w:p w:rsidR="00E84FDA" w:rsidRPr="0069198C" w:rsidRDefault="0069198C" w:rsidP="00E84FDA">
      <w:pPr>
        <w:ind w:firstLine="440"/>
        <w:rPr>
          <w:rFonts w:ascii="Microsoft Yahei" w:hAnsi="Microsoft Yahei" w:hint="eastAsia"/>
          <w:color w:val="404040"/>
          <w:shd w:val="clear" w:color="auto" w:fill="FFFFFF"/>
        </w:rPr>
      </w:pPr>
      <w:r>
        <w:rPr>
          <w:rFonts w:ascii="Microsoft Yahei" w:hAnsi="Microsoft Yahei" w:hint="eastAsia"/>
          <w:color w:val="404040"/>
          <w:shd w:val="clear" w:color="auto" w:fill="FFFFFF"/>
        </w:rPr>
        <w:t>从国际原油基本面来看，</w:t>
      </w:r>
      <w:r w:rsidR="00646517">
        <w:rPr>
          <w:rFonts w:ascii="Microsoft Yahei" w:hAnsi="Microsoft Yahei"/>
          <w:color w:val="404040"/>
          <w:shd w:val="clear" w:color="auto" w:fill="FFFFFF"/>
        </w:rPr>
        <w:t>7</w:t>
      </w:r>
      <w:r w:rsidR="00646517">
        <w:rPr>
          <w:rFonts w:ascii="Microsoft Yahei" w:hAnsi="Microsoft Yahei"/>
          <w:color w:val="404040"/>
          <w:shd w:val="clear" w:color="auto" w:fill="FFFFFF"/>
        </w:rPr>
        <w:t>月</w:t>
      </w:r>
      <w:r w:rsidR="00646517">
        <w:rPr>
          <w:rFonts w:ascii="Microsoft Yahei" w:hAnsi="Microsoft Yahei"/>
          <w:color w:val="404040"/>
          <w:shd w:val="clear" w:color="auto" w:fill="FFFFFF"/>
        </w:rPr>
        <w:t>24</w:t>
      </w:r>
      <w:r w:rsidR="00646517">
        <w:rPr>
          <w:rFonts w:ascii="Microsoft Yahei" w:hAnsi="Microsoft Yahei"/>
          <w:color w:val="404040"/>
          <w:shd w:val="clear" w:color="auto" w:fill="FFFFFF"/>
        </w:rPr>
        <w:t>日，</w:t>
      </w:r>
      <w:r w:rsidR="00646517">
        <w:rPr>
          <w:rFonts w:ascii="Microsoft Yahei" w:hAnsi="Microsoft Yahei"/>
          <w:color w:val="404040"/>
          <w:shd w:val="clear" w:color="auto" w:fill="FFFFFF"/>
        </w:rPr>
        <w:t>OPEC</w:t>
      </w:r>
      <w:r w:rsidR="00646517">
        <w:rPr>
          <w:rFonts w:ascii="Microsoft Yahei" w:hAnsi="Microsoft Yahei" w:hint="eastAsia"/>
          <w:color w:val="404040"/>
          <w:shd w:val="clear" w:color="auto" w:fill="FFFFFF"/>
        </w:rPr>
        <w:t>与</w:t>
      </w:r>
      <w:r w:rsidR="00646517">
        <w:rPr>
          <w:rFonts w:ascii="Microsoft Yahei" w:hAnsi="Microsoft Yahei"/>
          <w:color w:val="404040"/>
          <w:shd w:val="clear" w:color="auto" w:fill="FFFFFF"/>
        </w:rPr>
        <w:t>非</w:t>
      </w:r>
      <w:r w:rsidR="00646517">
        <w:rPr>
          <w:rFonts w:ascii="Microsoft Yahei" w:hAnsi="Microsoft Yahei"/>
          <w:color w:val="404040"/>
          <w:shd w:val="clear" w:color="auto" w:fill="FFFFFF"/>
        </w:rPr>
        <w:t>OPEC</w:t>
      </w:r>
      <w:r w:rsidR="00646517">
        <w:rPr>
          <w:rFonts w:ascii="Microsoft Yahei" w:hAnsi="Microsoft Yahei"/>
          <w:color w:val="404040"/>
          <w:shd w:val="clear" w:color="auto" w:fill="FFFFFF"/>
        </w:rPr>
        <w:t>产油国在圣彼得堡召开减产监督委员会会议。</w:t>
      </w:r>
      <w:r w:rsidRPr="0069198C">
        <w:rPr>
          <w:rFonts w:ascii="Microsoft Yahei" w:hAnsi="Microsoft Yahei" w:hint="eastAsia"/>
          <w:color w:val="404040"/>
          <w:shd w:val="clear" w:color="auto" w:fill="FFFFFF"/>
        </w:rPr>
        <w:t>一边是个别国家减产不到位，另一边是美国页岩油趁势增产，内忧外患之下，减产协议效果渐失，市场对于深化减产的呼声越来越高。不过，此次会后声明并未提及深化减产的可能性</w:t>
      </w:r>
      <w:r w:rsidR="00646517">
        <w:rPr>
          <w:rFonts w:ascii="Microsoft Yahei" w:hAnsi="Microsoft Yahei"/>
          <w:color w:val="404040"/>
          <w:shd w:val="clear" w:color="auto" w:fill="FFFFFF"/>
        </w:rPr>
        <w:t>，但仍释放了一定的利好消息</w:t>
      </w:r>
      <w:r w:rsidR="00E84FDA" w:rsidRPr="00E84FDA">
        <w:rPr>
          <w:rFonts w:ascii="Microsoft Yahei" w:hAnsi="Microsoft Yahei"/>
          <w:color w:val="404040"/>
          <w:shd w:val="clear" w:color="auto" w:fill="FFFFFF"/>
        </w:rPr>
        <w:t>。</w:t>
      </w:r>
    </w:p>
    <w:p w:rsidR="0069198C" w:rsidRDefault="00646517" w:rsidP="0069198C">
      <w:pPr>
        <w:ind w:firstLine="440"/>
        <w:rPr>
          <w:rFonts w:ascii="Microsoft Yahei" w:hAnsi="Microsoft Yahei" w:hint="eastAsia"/>
          <w:color w:val="404040"/>
          <w:shd w:val="clear" w:color="auto" w:fill="FFFFFF"/>
        </w:rPr>
      </w:pPr>
      <w:r>
        <w:rPr>
          <w:rFonts w:ascii="Microsoft Yahei" w:hAnsi="Microsoft Yahei"/>
          <w:color w:val="404040"/>
          <w:shd w:val="clear" w:color="auto" w:fill="FFFFFF"/>
        </w:rPr>
        <w:t>OPEC</w:t>
      </w:r>
      <w:r>
        <w:rPr>
          <w:rFonts w:ascii="Microsoft Yahei" w:hAnsi="Microsoft Yahei"/>
          <w:color w:val="404040"/>
          <w:shd w:val="clear" w:color="auto" w:fill="FFFFFF"/>
        </w:rPr>
        <w:t>官方声明显示，尼日利亚自发地将产量上限设置为</w:t>
      </w:r>
      <w:r>
        <w:rPr>
          <w:rFonts w:ascii="Microsoft Yahei" w:hAnsi="Microsoft Yahei"/>
          <w:color w:val="404040"/>
          <w:shd w:val="clear" w:color="auto" w:fill="FFFFFF"/>
        </w:rPr>
        <w:t>180</w:t>
      </w:r>
      <w:r>
        <w:rPr>
          <w:rFonts w:ascii="Microsoft Yahei" w:hAnsi="Microsoft Yahei"/>
          <w:color w:val="404040"/>
          <w:shd w:val="clear" w:color="auto" w:fill="FFFFFF"/>
        </w:rPr>
        <w:t>万桶</w:t>
      </w:r>
      <w:r>
        <w:rPr>
          <w:rFonts w:ascii="Microsoft Yahei" w:hAnsi="Microsoft Yahei"/>
          <w:color w:val="404040"/>
          <w:shd w:val="clear" w:color="auto" w:fill="FFFFFF"/>
        </w:rPr>
        <w:t>/</w:t>
      </w:r>
      <w:r>
        <w:rPr>
          <w:rFonts w:ascii="Microsoft Yahei" w:hAnsi="Microsoft Yahei"/>
          <w:color w:val="404040"/>
          <w:shd w:val="clear" w:color="auto" w:fill="FFFFFF"/>
        </w:rPr>
        <w:t>日。</w:t>
      </w:r>
      <w:r>
        <w:rPr>
          <w:rFonts w:ascii="Microsoft Yahei" w:hAnsi="Microsoft Yahei" w:hint="eastAsia"/>
          <w:color w:val="404040"/>
          <w:shd w:val="clear" w:color="auto" w:fill="FFFFFF"/>
        </w:rPr>
        <w:t>但</w:t>
      </w:r>
      <w:r>
        <w:rPr>
          <w:rFonts w:ascii="Microsoft Yahei" w:hAnsi="Microsoft Yahei"/>
          <w:color w:val="404040"/>
          <w:shd w:val="clear" w:color="auto" w:fill="FFFFFF"/>
        </w:rPr>
        <w:t>减产监督委员会并没有在利比亚产量问题上达成最终意见，利比亚代表表示，在产量到今年</w:t>
      </w:r>
      <w:r>
        <w:rPr>
          <w:rFonts w:ascii="Microsoft Yahei" w:hAnsi="Microsoft Yahei"/>
          <w:color w:val="404040"/>
          <w:shd w:val="clear" w:color="auto" w:fill="FFFFFF"/>
        </w:rPr>
        <w:t>12</w:t>
      </w:r>
      <w:r>
        <w:rPr>
          <w:rFonts w:ascii="Microsoft Yahei" w:hAnsi="Microsoft Yahei"/>
          <w:color w:val="404040"/>
          <w:shd w:val="clear" w:color="auto" w:fill="FFFFFF"/>
        </w:rPr>
        <w:t>月上升至</w:t>
      </w:r>
      <w:r>
        <w:rPr>
          <w:rFonts w:ascii="Microsoft Yahei" w:hAnsi="Microsoft Yahei"/>
          <w:color w:val="404040"/>
          <w:shd w:val="clear" w:color="auto" w:fill="FFFFFF"/>
        </w:rPr>
        <w:t>125</w:t>
      </w:r>
      <w:r>
        <w:rPr>
          <w:rFonts w:ascii="Microsoft Yahei" w:hAnsi="Microsoft Yahei"/>
          <w:color w:val="404040"/>
          <w:shd w:val="clear" w:color="auto" w:fill="FFFFFF"/>
        </w:rPr>
        <w:t>万桶</w:t>
      </w:r>
      <w:r>
        <w:rPr>
          <w:rFonts w:ascii="Microsoft Yahei" w:hAnsi="Microsoft Yahei"/>
          <w:color w:val="404040"/>
          <w:shd w:val="clear" w:color="auto" w:fill="FFFFFF"/>
        </w:rPr>
        <w:t>/</w:t>
      </w:r>
      <w:r>
        <w:rPr>
          <w:rFonts w:ascii="Microsoft Yahei" w:hAnsi="Microsoft Yahei"/>
          <w:color w:val="404040"/>
          <w:shd w:val="clear" w:color="auto" w:fill="FFFFFF"/>
        </w:rPr>
        <w:t>日前，该国不会采取限产措施。</w:t>
      </w:r>
    </w:p>
    <w:p w:rsidR="0069198C" w:rsidRDefault="00646517" w:rsidP="0069198C">
      <w:pPr>
        <w:ind w:firstLine="440"/>
        <w:rPr>
          <w:rFonts w:ascii="Microsoft Yahei" w:hAnsi="Microsoft Yahei" w:hint="eastAsia"/>
          <w:color w:val="404040"/>
          <w:shd w:val="clear" w:color="auto" w:fill="FFFFFF"/>
        </w:rPr>
      </w:pPr>
      <w:r w:rsidRPr="00646517">
        <w:rPr>
          <w:rFonts w:ascii="Microsoft Yahei" w:hAnsi="Microsoft Yahei"/>
          <w:color w:val="404040"/>
          <w:shd w:val="clear" w:color="auto" w:fill="FFFFFF"/>
        </w:rPr>
        <w:t>OPEC</w:t>
      </w:r>
      <w:r w:rsidRPr="00646517">
        <w:rPr>
          <w:rFonts w:ascii="Microsoft Yahei" w:hAnsi="Microsoft Yahei"/>
          <w:color w:val="404040"/>
          <w:shd w:val="clear" w:color="auto" w:fill="FFFFFF"/>
        </w:rPr>
        <w:t>官方声明还显示，全球原油目前稳定地朝着供给再平衡的方向发展，市场的波动在近期开始下降，另外，石油行业的投资也正在复苏。预计原油需求将在下半年出现显著增长，增幅将达到</w:t>
      </w:r>
      <w:r w:rsidRPr="00646517">
        <w:rPr>
          <w:rFonts w:ascii="Microsoft Yahei" w:hAnsi="Microsoft Yahei"/>
          <w:color w:val="404040"/>
          <w:shd w:val="clear" w:color="auto" w:fill="FFFFFF"/>
        </w:rPr>
        <w:t>200</w:t>
      </w:r>
      <w:r w:rsidRPr="00646517">
        <w:rPr>
          <w:rFonts w:ascii="Microsoft Yahei" w:hAnsi="Microsoft Yahei"/>
          <w:color w:val="404040"/>
          <w:shd w:val="clear" w:color="auto" w:fill="FFFFFF"/>
        </w:rPr>
        <w:t>万桶</w:t>
      </w:r>
      <w:r w:rsidRPr="00646517">
        <w:rPr>
          <w:rFonts w:ascii="Microsoft Yahei" w:hAnsi="Microsoft Yahei"/>
          <w:color w:val="404040"/>
          <w:shd w:val="clear" w:color="auto" w:fill="FFFFFF"/>
        </w:rPr>
        <w:t>/</w:t>
      </w:r>
      <w:r w:rsidR="0069198C">
        <w:rPr>
          <w:rFonts w:ascii="Microsoft Yahei" w:hAnsi="Microsoft Yahei"/>
          <w:color w:val="404040"/>
          <w:shd w:val="clear" w:color="auto" w:fill="FFFFFF"/>
        </w:rPr>
        <w:t>日，这将有助于库存的持续下降</w:t>
      </w:r>
      <w:r w:rsidRPr="00646517">
        <w:rPr>
          <w:rFonts w:ascii="Microsoft Yahei" w:hAnsi="Microsoft Yahei"/>
          <w:color w:val="404040"/>
          <w:shd w:val="clear" w:color="auto" w:fill="FFFFFF"/>
        </w:rPr>
        <w:t>。</w:t>
      </w:r>
    </w:p>
    <w:p w:rsidR="00646517" w:rsidRDefault="0069198C" w:rsidP="0069198C">
      <w:pPr>
        <w:ind w:firstLine="440"/>
        <w:rPr>
          <w:rFonts w:ascii="Microsoft Yahei" w:hAnsi="Microsoft Yahei" w:hint="eastAsia"/>
          <w:color w:val="404040"/>
          <w:shd w:val="clear" w:color="auto" w:fill="FFFFFF"/>
        </w:rPr>
      </w:pPr>
      <w:r w:rsidRPr="0069198C">
        <w:rPr>
          <w:rFonts w:ascii="Microsoft Yahei" w:hAnsi="Microsoft Yahei" w:hint="eastAsia"/>
          <w:color w:val="404040"/>
          <w:shd w:val="clear" w:color="auto" w:fill="FFFFFF"/>
        </w:rPr>
        <w:t>另外</w:t>
      </w:r>
      <w:r w:rsidR="00646517" w:rsidRPr="00646517">
        <w:rPr>
          <w:rFonts w:ascii="Microsoft Yahei" w:hAnsi="Microsoft Yahei"/>
          <w:color w:val="404040"/>
          <w:shd w:val="clear" w:color="auto" w:fill="FFFFFF"/>
        </w:rPr>
        <w:t>沙特石油部长</w:t>
      </w:r>
      <w:r w:rsidRPr="0069198C">
        <w:rPr>
          <w:rFonts w:ascii="Microsoft Yahei" w:hAnsi="Microsoft Yahei" w:hint="eastAsia"/>
          <w:color w:val="404040"/>
          <w:shd w:val="clear" w:color="auto" w:fill="FFFFFF"/>
        </w:rPr>
        <w:t>还在</w:t>
      </w:r>
      <w:r w:rsidR="00646517" w:rsidRPr="00646517">
        <w:rPr>
          <w:rFonts w:ascii="Microsoft Yahei" w:hAnsi="Microsoft Yahei"/>
          <w:color w:val="404040"/>
          <w:shd w:val="clear" w:color="auto" w:fill="FFFFFF"/>
        </w:rPr>
        <w:t>会后表示，该国</w:t>
      </w:r>
      <w:r>
        <w:rPr>
          <w:rFonts w:ascii="Microsoft Yahei" w:hAnsi="Microsoft Yahei" w:hint="eastAsia"/>
          <w:color w:val="404040"/>
          <w:shd w:val="clear" w:color="auto" w:fill="FFFFFF"/>
        </w:rPr>
        <w:t>在</w:t>
      </w:r>
      <w:r w:rsidR="00646517" w:rsidRPr="00646517">
        <w:rPr>
          <w:rFonts w:ascii="Microsoft Yahei" w:hAnsi="Microsoft Yahei"/>
          <w:color w:val="404040"/>
          <w:shd w:val="clear" w:color="auto" w:fill="FFFFFF"/>
        </w:rPr>
        <w:t>8</w:t>
      </w:r>
      <w:r w:rsidR="00646517" w:rsidRPr="00646517">
        <w:rPr>
          <w:rFonts w:ascii="Microsoft Yahei" w:hAnsi="Microsoft Yahei"/>
          <w:color w:val="404040"/>
          <w:shd w:val="clear" w:color="auto" w:fill="FFFFFF"/>
        </w:rPr>
        <w:t>月</w:t>
      </w:r>
      <w:r>
        <w:rPr>
          <w:rFonts w:ascii="Microsoft Yahei" w:hAnsi="Microsoft Yahei" w:hint="eastAsia"/>
          <w:color w:val="404040"/>
          <w:shd w:val="clear" w:color="auto" w:fill="FFFFFF"/>
        </w:rPr>
        <w:t>份</w:t>
      </w:r>
      <w:r w:rsidR="00646517" w:rsidRPr="00646517">
        <w:rPr>
          <w:rFonts w:ascii="Microsoft Yahei" w:hAnsi="Microsoft Yahei"/>
          <w:color w:val="404040"/>
          <w:shd w:val="clear" w:color="auto" w:fill="FFFFFF"/>
        </w:rPr>
        <w:t>将把出口限制在</w:t>
      </w:r>
      <w:r w:rsidR="00646517" w:rsidRPr="00646517">
        <w:rPr>
          <w:rFonts w:ascii="Microsoft Yahei" w:hAnsi="Microsoft Yahei"/>
          <w:color w:val="404040"/>
          <w:shd w:val="clear" w:color="auto" w:fill="FFFFFF"/>
        </w:rPr>
        <w:t>660</w:t>
      </w:r>
      <w:r w:rsidR="00646517" w:rsidRPr="00646517">
        <w:rPr>
          <w:rFonts w:ascii="Microsoft Yahei" w:hAnsi="Microsoft Yahei"/>
          <w:color w:val="404040"/>
          <w:shd w:val="clear" w:color="auto" w:fill="FFFFFF"/>
        </w:rPr>
        <w:t>万桶</w:t>
      </w:r>
      <w:r w:rsidR="00646517" w:rsidRPr="00646517">
        <w:rPr>
          <w:rFonts w:ascii="Microsoft Yahei" w:hAnsi="Microsoft Yahei"/>
          <w:color w:val="404040"/>
          <w:shd w:val="clear" w:color="auto" w:fill="FFFFFF"/>
        </w:rPr>
        <w:t>/</w:t>
      </w:r>
      <w:r w:rsidR="00646517" w:rsidRPr="00646517">
        <w:rPr>
          <w:rFonts w:ascii="Microsoft Yahei" w:hAnsi="Microsoft Yahei"/>
          <w:color w:val="404040"/>
          <w:shd w:val="clear" w:color="auto" w:fill="FFFFFF"/>
        </w:rPr>
        <w:t>日以内（同比下降</w:t>
      </w:r>
      <w:r w:rsidR="00646517" w:rsidRPr="00646517">
        <w:rPr>
          <w:rFonts w:ascii="Microsoft Yahei" w:hAnsi="Microsoft Yahei"/>
          <w:color w:val="404040"/>
          <w:shd w:val="clear" w:color="auto" w:fill="FFFFFF"/>
        </w:rPr>
        <w:t>100</w:t>
      </w:r>
      <w:r w:rsidR="00646517" w:rsidRPr="00646517">
        <w:rPr>
          <w:rFonts w:ascii="Microsoft Yahei" w:hAnsi="Microsoft Yahei"/>
          <w:color w:val="404040"/>
          <w:shd w:val="clear" w:color="auto" w:fill="FFFFFF"/>
        </w:rPr>
        <w:t>万桶</w:t>
      </w:r>
      <w:r w:rsidR="00646517" w:rsidRPr="00646517">
        <w:rPr>
          <w:rFonts w:ascii="Microsoft Yahei" w:hAnsi="Microsoft Yahei"/>
          <w:color w:val="404040"/>
          <w:shd w:val="clear" w:color="auto" w:fill="FFFFFF"/>
        </w:rPr>
        <w:t>/</w:t>
      </w:r>
      <w:r w:rsidR="00646517" w:rsidRPr="00646517">
        <w:rPr>
          <w:rFonts w:ascii="Microsoft Yahei" w:hAnsi="Microsoft Yahei"/>
          <w:color w:val="404040"/>
          <w:shd w:val="clear" w:color="auto" w:fill="FFFFFF"/>
        </w:rPr>
        <w:t>日）。他指出，个别国家的执行力度不强及</w:t>
      </w:r>
      <w:r w:rsidR="00646517" w:rsidRPr="00646517">
        <w:rPr>
          <w:rFonts w:ascii="Microsoft Yahei" w:hAnsi="Microsoft Yahei"/>
          <w:color w:val="404040"/>
          <w:shd w:val="clear" w:color="auto" w:fill="FFFFFF"/>
        </w:rPr>
        <w:t>OPEC</w:t>
      </w:r>
      <w:r w:rsidR="00646517" w:rsidRPr="00646517">
        <w:rPr>
          <w:rFonts w:ascii="Microsoft Yahei" w:hAnsi="Microsoft Yahei"/>
          <w:color w:val="404040"/>
          <w:shd w:val="clear" w:color="auto" w:fill="FFFFFF"/>
        </w:rPr>
        <w:t>出口增长，是近来打压油价的主要因素。将尽快处理个别国家减产执行不到位的问题，并监督利比亚和尼日利亚的增产情况，目标是使得库存水平下降到</w:t>
      </w:r>
      <w:r w:rsidR="00646517" w:rsidRPr="00646517">
        <w:rPr>
          <w:rFonts w:ascii="Microsoft Yahei" w:hAnsi="Microsoft Yahei"/>
          <w:color w:val="404040"/>
          <w:shd w:val="clear" w:color="auto" w:fill="FFFFFF"/>
        </w:rPr>
        <w:t>5</w:t>
      </w:r>
      <w:r w:rsidR="00F51743">
        <w:rPr>
          <w:rFonts w:ascii="Microsoft Yahei" w:hAnsi="Microsoft Yahei"/>
          <w:color w:val="404040"/>
          <w:shd w:val="clear" w:color="auto" w:fill="FFFFFF"/>
        </w:rPr>
        <w:t>年均值</w:t>
      </w:r>
      <w:r w:rsidR="00646517">
        <w:rPr>
          <w:rFonts w:ascii="Microsoft Yahei" w:hAnsi="Microsoft Yahei"/>
          <w:color w:val="404040"/>
          <w:shd w:val="clear" w:color="auto" w:fill="FFFFFF"/>
        </w:rPr>
        <w:t>。</w:t>
      </w:r>
    </w:p>
    <w:p w:rsidR="0069198C" w:rsidRPr="00F51743" w:rsidRDefault="00702CA6" w:rsidP="00F51743">
      <w:pPr>
        <w:spacing w:after="100" w:afterAutospacing="1"/>
        <w:ind w:firstLine="440"/>
        <w:rPr>
          <w:rFonts w:ascii="Microsoft Yahei" w:hAnsi="Microsoft Yahei" w:hint="eastAsia"/>
          <w:color w:val="404040"/>
          <w:shd w:val="clear" w:color="auto" w:fill="FFFFFF"/>
        </w:rPr>
      </w:pPr>
      <w:r>
        <w:rPr>
          <w:rFonts w:ascii="Microsoft Yahei" w:hAnsi="Microsoft Yahei"/>
          <w:color w:val="404040"/>
          <w:shd w:val="clear" w:color="auto" w:fill="FFFFFF"/>
        </w:rPr>
        <w:t>OPEC</w:t>
      </w:r>
      <w:r>
        <w:rPr>
          <w:rFonts w:ascii="Microsoft Yahei" w:hAnsi="Microsoft Yahei"/>
          <w:color w:val="404040"/>
          <w:shd w:val="clear" w:color="auto" w:fill="FFFFFF"/>
        </w:rPr>
        <w:t>一直以来都强调，先看完今年夏天行情走势，再</w:t>
      </w:r>
      <w:r w:rsidRPr="00F51743">
        <w:t>考虑</w:t>
      </w:r>
      <w:r>
        <w:rPr>
          <w:rFonts w:ascii="Microsoft Yahei" w:hAnsi="Microsoft Yahei"/>
          <w:color w:val="404040"/>
          <w:shd w:val="clear" w:color="auto" w:fill="FFFFFF"/>
        </w:rPr>
        <w:t>是否要进一步减产。并不是</w:t>
      </w:r>
      <w:r>
        <w:rPr>
          <w:rFonts w:ascii="Microsoft Yahei" w:hAnsi="Microsoft Yahei"/>
          <w:color w:val="404040"/>
          <w:shd w:val="clear" w:color="auto" w:fill="FFFFFF"/>
        </w:rPr>
        <w:t>OPEC</w:t>
      </w:r>
      <w:r>
        <w:rPr>
          <w:rFonts w:ascii="Microsoft Yahei" w:hAnsi="Microsoft Yahei"/>
          <w:color w:val="404040"/>
          <w:shd w:val="clear" w:color="auto" w:fill="FFFFFF"/>
        </w:rPr>
        <w:t>就此排除进一步减产的可能性了，至少要等到</w:t>
      </w:r>
      <w:r>
        <w:rPr>
          <w:rFonts w:ascii="Microsoft Yahei" w:hAnsi="Microsoft Yahei"/>
          <w:color w:val="404040"/>
          <w:shd w:val="clear" w:color="auto" w:fill="FFFFFF"/>
        </w:rPr>
        <w:t>8</w:t>
      </w:r>
      <w:r>
        <w:rPr>
          <w:rFonts w:ascii="Microsoft Yahei" w:hAnsi="Microsoft Yahei"/>
          <w:color w:val="404040"/>
          <w:shd w:val="clear" w:color="auto" w:fill="FFFFFF"/>
        </w:rPr>
        <w:t>月末或</w:t>
      </w:r>
      <w:r>
        <w:rPr>
          <w:rFonts w:ascii="Microsoft Yahei" w:hAnsi="Microsoft Yahei"/>
          <w:color w:val="404040"/>
          <w:shd w:val="clear" w:color="auto" w:fill="FFFFFF"/>
        </w:rPr>
        <w:t>9</w:t>
      </w:r>
      <w:r>
        <w:rPr>
          <w:rFonts w:ascii="Microsoft Yahei" w:hAnsi="Microsoft Yahei"/>
          <w:color w:val="404040"/>
          <w:shd w:val="clear" w:color="auto" w:fill="FFFFFF"/>
        </w:rPr>
        <w:t>月初才作相关讨论</w:t>
      </w:r>
      <w:r w:rsidR="00F51743">
        <w:rPr>
          <w:rFonts w:ascii="Microsoft Yahei" w:hAnsi="Microsoft Yahei" w:hint="eastAsia"/>
          <w:color w:val="404040"/>
          <w:shd w:val="clear" w:color="auto" w:fill="FFFFFF"/>
        </w:rPr>
        <w:t>。</w:t>
      </w:r>
    </w:p>
    <w:tbl>
      <w:tblPr>
        <w:tblW w:w="5000" w:type="pct"/>
        <w:jc w:val="center"/>
        <w:tblBorders>
          <w:insideH w:val="single" w:sz="4" w:space="0" w:color="010281"/>
          <w:insideV w:val="single" w:sz="4" w:space="0" w:color="4F81BD"/>
        </w:tblBorders>
        <w:tblLook w:val="0000"/>
      </w:tblPr>
      <w:tblGrid>
        <w:gridCol w:w="9287"/>
      </w:tblGrid>
      <w:tr w:rsidR="00013179" w:rsidRPr="00054A12" w:rsidTr="001201A3">
        <w:trPr>
          <w:trHeight w:val="317"/>
          <w:jc w:val="center"/>
        </w:trPr>
        <w:tc>
          <w:tcPr>
            <w:tcW w:w="9287" w:type="dxa"/>
            <w:tcBorders>
              <w:top w:val="single" w:sz="4" w:space="0" w:color="011380"/>
              <w:bottom w:val="single" w:sz="4" w:space="0" w:color="010281"/>
            </w:tcBorders>
          </w:tcPr>
          <w:p w:rsidR="00013179" w:rsidRPr="00054A12" w:rsidRDefault="00013179" w:rsidP="00DE5E5E">
            <w:pPr>
              <w:pStyle w:val="aa"/>
              <w:ind w:firstLineChars="0" w:firstLine="0"/>
              <w:rPr>
                <w:rFonts w:cs="宋体"/>
                <w:color w:val="auto"/>
              </w:rPr>
            </w:pPr>
            <w:r w:rsidRPr="002E3981">
              <w:rPr>
                <w:rFonts w:ascii="华文细黑" w:hAnsi="华文细黑" w:hint="eastAsia"/>
                <w:color w:val="auto"/>
                <w:kern w:val="2"/>
                <w:sz w:val="21"/>
              </w:rPr>
              <w:t>图</w:t>
            </w:r>
            <w:r w:rsidR="000B2373">
              <w:rPr>
                <w:rFonts w:hint="eastAsia"/>
                <w:color w:val="auto"/>
                <w:kern w:val="2"/>
                <w:sz w:val="21"/>
              </w:rPr>
              <w:t>3</w:t>
            </w:r>
            <w:r w:rsidRPr="00A804D0">
              <w:rPr>
                <w:color w:val="auto"/>
                <w:kern w:val="2"/>
                <w:sz w:val="21"/>
              </w:rPr>
              <w:t>：</w:t>
            </w:r>
            <w:r w:rsidR="00DE5E5E">
              <w:rPr>
                <w:rFonts w:hint="eastAsia"/>
                <w:color w:val="auto"/>
                <w:kern w:val="2"/>
                <w:sz w:val="21"/>
              </w:rPr>
              <w:t>美国原油库存变化</w:t>
            </w:r>
          </w:p>
        </w:tc>
      </w:tr>
      <w:tr w:rsidR="00013179" w:rsidRPr="00054A12" w:rsidTr="001201A3">
        <w:trPr>
          <w:trHeight w:val="2915"/>
          <w:jc w:val="center"/>
        </w:trPr>
        <w:tc>
          <w:tcPr>
            <w:tcW w:w="9287" w:type="dxa"/>
            <w:tcBorders>
              <w:top w:val="single" w:sz="4" w:space="0" w:color="010281"/>
              <w:bottom w:val="single" w:sz="4" w:space="0" w:color="010281"/>
            </w:tcBorders>
          </w:tcPr>
          <w:p w:rsidR="00013179" w:rsidRPr="00054A12" w:rsidRDefault="00702CA6" w:rsidP="001201A3">
            <w:pPr>
              <w:ind w:firstLineChars="0" w:firstLine="0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753100" cy="3076575"/>
                  <wp:effectExtent l="19050" t="0" r="0" b="0"/>
                  <wp:docPr id="2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307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179" w:rsidRPr="00054A12" w:rsidTr="001201A3">
        <w:trPr>
          <w:trHeight w:val="71"/>
          <w:jc w:val="center"/>
        </w:trPr>
        <w:tc>
          <w:tcPr>
            <w:tcW w:w="9287" w:type="dxa"/>
            <w:tcBorders>
              <w:top w:val="single" w:sz="4" w:space="0" w:color="010281"/>
              <w:bottom w:val="single" w:sz="4" w:space="0" w:color="011380"/>
            </w:tcBorders>
          </w:tcPr>
          <w:p w:rsidR="00013179" w:rsidRPr="00054A12" w:rsidRDefault="00013179" w:rsidP="001201A3">
            <w:pPr>
              <w:pStyle w:val="ab"/>
              <w:ind w:firstLineChars="0" w:firstLine="0"/>
              <w:rPr>
                <w:color w:val="auto"/>
                <w:sz w:val="22"/>
              </w:rPr>
            </w:pPr>
            <w:r w:rsidRPr="00054A12">
              <w:rPr>
                <w:rFonts w:hAnsi="华文细黑" w:cs="宋体" w:hint="eastAsia"/>
                <w:sz w:val="18"/>
                <w:szCs w:val="18"/>
              </w:rPr>
              <w:t>数据来源：</w:t>
            </w:r>
            <w:r>
              <w:rPr>
                <w:rFonts w:hAnsi="华文细黑" w:cs="宋体" w:hint="eastAsia"/>
                <w:sz w:val="18"/>
                <w:szCs w:val="18"/>
              </w:rPr>
              <w:t>IEA</w:t>
            </w:r>
            <w:r w:rsidRPr="00054A12">
              <w:rPr>
                <w:rFonts w:hAnsi="华文细黑" w:cs="宋体" w:hint="eastAsia"/>
                <w:sz w:val="18"/>
                <w:szCs w:val="18"/>
              </w:rPr>
              <w:t>，</w:t>
            </w:r>
            <w:proofErr w:type="gramStart"/>
            <w:r w:rsidRPr="00054A12">
              <w:rPr>
                <w:rFonts w:hAnsi="华文细黑" w:cs="宋体" w:hint="eastAsia"/>
                <w:sz w:val="18"/>
                <w:szCs w:val="18"/>
              </w:rPr>
              <w:t>兴证期货</w:t>
            </w:r>
            <w:proofErr w:type="gramEnd"/>
            <w:r w:rsidRPr="00054A12">
              <w:rPr>
                <w:rFonts w:hAnsi="华文细黑" w:cs="宋体" w:hint="eastAsia"/>
                <w:sz w:val="18"/>
                <w:szCs w:val="18"/>
              </w:rPr>
              <w:t>研发部</w:t>
            </w:r>
          </w:p>
        </w:tc>
      </w:tr>
    </w:tbl>
    <w:p w:rsidR="001D4384" w:rsidRPr="00F51743" w:rsidRDefault="00702CA6" w:rsidP="00F51743">
      <w:pPr>
        <w:spacing w:after="100" w:afterAutospacing="1"/>
        <w:ind w:firstLine="440"/>
        <w:rPr>
          <w:rFonts w:ascii="Microsoft Yahei" w:hAnsi="Microsoft Yahei"/>
          <w:color w:val="404040"/>
          <w:shd w:val="clear" w:color="auto" w:fill="FFFFFF"/>
        </w:rPr>
      </w:pPr>
      <w:r w:rsidRPr="00F51743">
        <w:rPr>
          <w:rFonts w:ascii="Microsoft Yahei" w:hAnsi="Microsoft Yahei" w:hint="eastAsia"/>
          <w:color w:val="404040"/>
          <w:shd w:val="clear" w:color="auto" w:fill="FFFFFF"/>
        </w:rPr>
        <w:t>库存方面，</w:t>
      </w:r>
      <w:r w:rsidRPr="00F51743">
        <w:rPr>
          <w:rFonts w:ascii="Microsoft Yahei" w:hAnsi="Microsoft Yahei" w:hint="eastAsia"/>
          <w:color w:val="404040"/>
          <w:shd w:val="clear" w:color="auto" w:fill="FFFFFF"/>
        </w:rPr>
        <w:t>EIA</w:t>
      </w:r>
      <w:r w:rsidRPr="00F51743">
        <w:rPr>
          <w:rFonts w:ascii="Microsoft Yahei" w:hAnsi="Microsoft Yahei" w:hint="eastAsia"/>
          <w:color w:val="404040"/>
          <w:shd w:val="clear" w:color="auto" w:fill="FFFFFF"/>
        </w:rPr>
        <w:t>最新的数据显示，</w:t>
      </w:r>
      <w:r w:rsidR="009E01E7" w:rsidRPr="00F51743">
        <w:rPr>
          <w:rFonts w:ascii="Microsoft Yahei" w:hAnsi="Microsoft Yahei" w:hint="eastAsia"/>
          <w:color w:val="404040"/>
          <w:shd w:val="clear" w:color="auto" w:fill="FFFFFF"/>
        </w:rPr>
        <w:t>截至</w:t>
      </w:r>
      <w:r w:rsidR="009E01E7" w:rsidRPr="00F51743">
        <w:rPr>
          <w:rFonts w:ascii="Microsoft Yahei" w:hAnsi="Microsoft Yahei" w:hint="eastAsia"/>
          <w:color w:val="404040"/>
          <w:shd w:val="clear" w:color="auto" w:fill="FFFFFF"/>
        </w:rPr>
        <w:t>7</w:t>
      </w:r>
      <w:r w:rsidR="009E01E7" w:rsidRPr="00F51743">
        <w:rPr>
          <w:rFonts w:ascii="Microsoft Yahei" w:hAnsi="Microsoft Yahei" w:hint="eastAsia"/>
          <w:color w:val="404040"/>
          <w:shd w:val="clear" w:color="auto" w:fill="FFFFFF"/>
        </w:rPr>
        <w:t>月</w:t>
      </w:r>
      <w:r w:rsidR="009E01E7" w:rsidRPr="00F51743">
        <w:rPr>
          <w:rFonts w:ascii="Microsoft Yahei" w:hAnsi="Microsoft Yahei" w:hint="eastAsia"/>
          <w:color w:val="404040"/>
          <w:shd w:val="clear" w:color="auto" w:fill="FFFFFF"/>
        </w:rPr>
        <w:t>21</w:t>
      </w:r>
      <w:r w:rsidR="009E01E7" w:rsidRPr="00F51743">
        <w:rPr>
          <w:rFonts w:ascii="Microsoft Yahei" w:hAnsi="Microsoft Yahei" w:hint="eastAsia"/>
          <w:color w:val="404040"/>
          <w:shd w:val="clear" w:color="auto" w:fill="FFFFFF"/>
        </w:rPr>
        <w:t>日当周，美国原油库存下降</w:t>
      </w:r>
      <w:r w:rsidR="009E01E7" w:rsidRPr="00F51743">
        <w:rPr>
          <w:rFonts w:ascii="Microsoft Yahei" w:hAnsi="Microsoft Yahei" w:hint="eastAsia"/>
          <w:color w:val="404040"/>
          <w:shd w:val="clear" w:color="auto" w:fill="FFFFFF"/>
        </w:rPr>
        <w:t>720.8</w:t>
      </w:r>
      <w:r w:rsidR="009E01E7" w:rsidRPr="00F51743">
        <w:rPr>
          <w:rFonts w:ascii="Microsoft Yahei" w:hAnsi="Microsoft Yahei" w:hint="eastAsia"/>
          <w:color w:val="404040"/>
          <w:shd w:val="clear" w:color="auto" w:fill="FFFFFF"/>
        </w:rPr>
        <w:t>万桶，连续四周录得下滑，市场预估为减少</w:t>
      </w:r>
      <w:r w:rsidR="009E01E7" w:rsidRPr="00F51743">
        <w:rPr>
          <w:rFonts w:ascii="Microsoft Yahei" w:hAnsi="Microsoft Yahei" w:hint="eastAsia"/>
          <w:color w:val="404040"/>
          <w:shd w:val="clear" w:color="auto" w:fill="FFFFFF"/>
        </w:rPr>
        <w:t>262.9</w:t>
      </w:r>
      <w:r w:rsidR="009E01E7" w:rsidRPr="00F51743">
        <w:rPr>
          <w:rFonts w:ascii="Microsoft Yahei" w:hAnsi="Microsoft Yahei" w:hint="eastAsia"/>
          <w:color w:val="404040"/>
          <w:shd w:val="clear" w:color="auto" w:fill="FFFFFF"/>
        </w:rPr>
        <w:t>万桶。美国原油主要交割</w:t>
      </w:r>
      <w:proofErr w:type="gramStart"/>
      <w:r w:rsidR="009E01E7" w:rsidRPr="00F51743">
        <w:rPr>
          <w:rFonts w:ascii="Microsoft Yahei" w:hAnsi="Microsoft Yahei" w:hint="eastAsia"/>
          <w:color w:val="404040"/>
          <w:shd w:val="clear" w:color="auto" w:fill="FFFFFF"/>
        </w:rPr>
        <w:t>地库欣库存</w:t>
      </w:r>
      <w:proofErr w:type="gramEnd"/>
      <w:r w:rsidR="009E01E7" w:rsidRPr="00F51743">
        <w:rPr>
          <w:rFonts w:ascii="Microsoft Yahei" w:hAnsi="Microsoft Yahei" w:hint="eastAsia"/>
          <w:color w:val="404040"/>
          <w:shd w:val="clear" w:color="auto" w:fill="FFFFFF"/>
        </w:rPr>
        <w:t>减少</w:t>
      </w:r>
      <w:r w:rsidR="009E01E7" w:rsidRPr="00F51743">
        <w:rPr>
          <w:rFonts w:ascii="Microsoft Yahei" w:hAnsi="Microsoft Yahei" w:hint="eastAsia"/>
          <w:color w:val="404040"/>
          <w:shd w:val="clear" w:color="auto" w:fill="FFFFFF"/>
        </w:rPr>
        <w:t>169.9</w:t>
      </w:r>
      <w:r w:rsidR="009E01E7" w:rsidRPr="00F51743">
        <w:rPr>
          <w:rFonts w:ascii="Microsoft Yahei" w:hAnsi="Microsoft Yahei" w:hint="eastAsia"/>
          <w:color w:val="404040"/>
          <w:shd w:val="clear" w:color="auto" w:fill="FFFFFF"/>
        </w:rPr>
        <w:t>万桶，连续</w:t>
      </w:r>
      <w:r w:rsidR="009E01E7" w:rsidRPr="00F51743">
        <w:rPr>
          <w:rFonts w:ascii="Microsoft Yahei" w:hAnsi="Microsoft Yahei" w:hint="eastAsia"/>
          <w:color w:val="404040"/>
          <w:shd w:val="clear" w:color="auto" w:fill="FFFFFF"/>
        </w:rPr>
        <w:t>10</w:t>
      </w:r>
      <w:r w:rsidR="009E01E7" w:rsidRPr="00F51743">
        <w:rPr>
          <w:rFonts w:ascii="Microsoft Yahei" w:hAnsi="Microsoft Yahei" w:hint="eastAsia"/>
          <w:color w:val="404040"/>
          <w:shd w:val="clear" w:color="auto" w:fill="FFFFFF"/>
        </w:rPr>
        <w:t>周录得下滑，前值为减少</w:t>
      </w:r>
      <w:r w:rsidR="009E01E7" w:rsidRPr="00F51743">
        <w:rPr>
          <w:rFonts w:ascii="Microsoft Yahei" w:hAnsi="Microsoft Yahei" w:hint="eastAsia"/>
          <w:color w:val="404040"/>
          <w:shd w:val="clear" w:color="auto" w:fill="FFFFFF"/>
        </w:rPr>
        <w:t>2.3</w:t>
      </w:r>
      <w:r w:rsidR="009E01E7" w:rsidRPr="00F51743">
        <w:rPr>
          <w:rFonts w:ascii="Microsoft Yahei" w:hAnsi="Microsoft Yahei" w:hint="eastAsia"/>
          <w:color w:val="404040"/>
          <w:shd w:val="clear" w:color="auto" w:fill="FFFFFF"/>
        </w:rPr>
        <w:t>万桶</w:t>
      </w:r>
      <w:r w:rsidRPr="00F51743">
        <w:rPr>
          <w:rFonts w:ascii="Microsoft Yahei" w:hAnsi="Microsoft Yahei" w:hint="eastAsia"/>
          <w:color w:val="404040"/>
          <w:shd w:val="clear" w:color="auto" w:fill="FFFFFF"/>
        </w:rPr>
        <w:t>。</w:t>
      </w:r>
      <w:r w:rsidR="009E01E7" w:rsidRPr="00F51743">
        <w:rPr>
          <w:rFonts w:ascii="Microsoft Yahei" w:hAnsi="Microsoft Yahei" w:hint="eastAsia"/>
          <w:color w:val="404040"/>
          <w:shd w:val="clear" w:color="auto" w:fill="FFFFFF"/>
        </w:rPr>
        <w:t>美国原油库存连续下降利多市场，不过当前美国原油和汽油库存仍然高于</w:t>
      </w:r>
      <w:r w:rsidR="009E01E7" w:rsidRPr="00F51743">
        <w:rPr>
          <w:rFonts w:ascii="Microsoft Yahei" w:hAnsi="Microsoft Yahei" w:hint="eastAsia"/>
          <w:color w:val="404040"/>
          <w:shd w:val="clear" w:color="auto" w:fill="FFFFFF"/>
        </w:rPr>
        <w:t>5</w:t>
      </w:r>
      <w:r w:rsidR="009E01E7" w:rsidRPr="00F51743">
        <w:rPr>
          <w:rFonts w:ascii="Microsoft Yahei" w:hAnsi="Microsoft Yahei" w:hint="eastAsia"/>
          <w:color w:val="404040"/>
          <w:shd w:val="clear" w:color="auto" w:fill="FFFFFF"/>
        </w:rPr>
        <w:t>年均值，这将抑制价格涨势。</w:t>
      </w:r>
    </w:p>
    <w:tbl>
      <w:tblPr>
        <w:tblW w:w="5000" w:type="pct"/>
        <w:jc w:val="center"/>
        <w:tblBorders>
          <w:insideH w:val="single" w:sz="4" w:space="0" w:color="010281"/>
          <w:insideV w:val="single" w:sz="4" w:space="0" w:color="4F81BD"/>
        </w:tblBorders>
        <w:tblLook w:val="0000"/>
      </w:tblPr>
      <w:tblGrid>
        <w:gridCol w:w="9287"/>
      </w:tblGrid>
      <w:tr w:rsidR="005D1686" w:rsidRPr="00054A12" w:rsidTr="00C66F6F">
        <w:trPr>
          <w:trHeight w:val="317"/>
          <w:jc w:val="center"/>
        </w:trPr>
        <w:tc>
          <w:tcPr>
            <w:tcW w:w="9287" w:type="dxa"/>
            <w:tcBorders>
              <w:top w:val="single" w:sz="4" w:space="0" w:color="011380"/>
              <w:bottom w:val="single" w:sz="4" w:space="0" w:color="010281"/>
            </w:tcBorders>
          </w:tcPr>
          <w:p w:rsidR="005D1686" w:rsidRPr="00054A12" w:rsidRDefault="005D1686" w:rsidP="00DE5E5E">
            <w:pPr>
              <w:pStyle w:val="aa"/>
              <w:ind w:firstLineChars="0" w:firstLine="0"/>
              <w:rPr>
                <w:rFonts w:cs="宋体"/>
                <w:color w:val="auto"/>
              </w:rPr>
            </w:pPr>
            <w:r w:rsidRPr="005D1686">
              <w:rPr>
                <w:rFonts w:ascii="华文细黑" w:hAnsi="华文细黑" w:hint="eastAsia"/>
                <w:color w:val="auto"/>
                <w:kern w:val="2"/>
                <w:sz w:val="21"/>
              </w:rPr>
              <w:t>图</w:t>
            </w:r>
            <w:r w:rsidR="000B2373">
              <w:rPr>
                <w:rFonts w:ascii="华文细黑" w:hAnsi="华文细黑" w:hint="eastAsia"/>
                <w:color w:val="auto"/>
                <w:kern w:val="2"/>
                <w:sz w:val="21"/>
              </w:rPr>
              <w:t>4</w:t>
            </w:r>
            <w:r w:rsidRPr="005D1686">
              <w:rPr>
                <w:rFonts w:ascii="华文细黑" w:hAnsi="华文细黑" w:hint="eastAsia"/>
                <w:color w:val="auto"/>
                <w:kern w:val="2"/>
                <w:sz w:val="21"/>
              </w:rPr>
              <w:t>：</w:t>
            </w:r>
            <w:r w:rsidR="00DE5E5E">
              <w:rPr>
                <w:rFonts w:ascii="华文细黑" w:hAnsi="华文细黑" w:hint="eastAsia"/>
                <w:color w:val="auto"/>
                <w:kern w:val="2"/>
                <w:sz w:val="21"/>
              </w:rPr>
              <w:t>OPEC原油产量变化</w:t>
            </w:r>
          </w:p>
        </w:tc>
      </w:tr>
      <w:tr w:rsidR="005D1686" w:rsidRPr="00054A12" w:rsidTr="00C66F6F">
        <w:trPr>
          <w:trHeight w:val="2915"/>
          <w:jc w:val="center"/>
        </w:trPr>
        <w:tc>
          <w:tcPr>
            <w:tcW w:w="0" w:type="dxa"/>
            <w:tcBorders>
              <w:top w:val="single" w:sz="4" w:space="0" w:color="010281"/>
              <w:bottom w:val="single" w:sz="4" w:space="0" w:color="010281"/>
            </w:tcBorders>
          </w:tcPr>
          <w:p w:rsidR="005D1686" w:rsidRPr="00054A12" w:rsidRDefault="00DE5E5E" w:rsidP="00C66F6F">
            <w:pPr>
              <w:ind w:firstLineChars="0" w:firstLine="0"/>
            </w:pPr>
            <w:r>
              <w:rPr>
                <w:noProof/>
              </w:rPr>
              <w:drawing>
                <wp:inline distT="0" distB="0" distL="0" distR="0">
                  <wp:extent cx="5753100" cy="3095625"/>
                  <wp:effectExtent l="1905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309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686" w:rsidRPr="00054A12" w:rsidTr="00C66F6F">
        <w:trPr>
          <w:trHeight w:val="71"/>
          <w:jc w:val="center"/>
        </w:trPr>
        <w:tc>
          <w:tcPr>
            <w:tcW w:w="9287" w:type="dxa"/>
            <w:tcBorders>
              <w:top w:val="single" w:sz="4" w:space="0" w:color="010281"/>
              <w:bottom w:val="single" w:sz="4" w:space="0" w:color="011380"/>
            </w:tcBorders>
          </w:tcPr>
          <w:p w:rsidR="005D1686" w:rsidRPr="00054A12" w:rsidRDefault="005D1686" w:rsidP="00C66F6F">
            <w:pPr>
              <w:pStyle w:val="ab"/>
              <w:ind w:firstLineChars="0" w:firstLine="0"/>
              <w:rPr>
                <w:color w:val="auto"/>
                <w:sz w:val="22"/>
              </w:rPr>
            </w:pPr>
            <w:r w:rsidRPr="00054A12">
              <w:rPr>
                <w:rFonts w:hAnsi="华文细黑" w:cs="宋体" w:hint="eastAsia"/>
                <w:sz w:val="18"/>
                <w:szCs w:val="18"/>
              </w:rPr>
              <w:t>数据来源：</w:t>
            </w:r>
            <w:r w:rsidRPr="00054A12">
              <w:rPr>
                <w:rFonts w:hint="eastAsia"/>
                <w:sz w:val="18"/>
                <w:szCs w:val="18"/>
              </w:rPr>
              <w:t>WIND</w:t>
            </w:r>
            <w:r w:rsidRPr="00054A12">
              <w:rPr>
                <w:rFonts w:hAnsi="华文细黑" w:cs="宋体" w:hint="eastAsia"/>
                <w:sz w:val="18"/>
                <w:szCs w:val="18"/>
              </w:rPr>
              <w:t>，</w:t>
            </w:r>
            <w:proofErr w:type="gramStart"/>
            <w:r w:rsidRPr="00054A12">
              <w:rPr>
                <w:rFonts w:hAnsi="华文细黑" w:cs="宋体" w:hint="eastAsia"/>
                <w:sz w:val="18"/>
                <w:szCs w:val="18"/>
              </w:rPr>
              <w:t>兴证期货</w:t>
            </w:r>
            <w:proofErr w:type="gramEnd"/>
            <w:r w:rsidRPr="00054A12">
              <w:rPr>
                <w:rFonts w:hAnsi="华文细黑" w:cs="宋体" w:hint="eastAsia"/>
                <w:sz w:val="18"/>
                <w:szCs w:val="18"/>
              </w:rPr>
              <w:t>研发部</w:t>
            </w:r>
          </w:p>
        </w:tc>
      </w:tr>
    </w:tbl>
    <w:p w:rsidR="00DE5E5E" w:rsidRPr="00873F34" w:rsidRDefault="00DE5E5E" w:rsidP="00DE5E5E">
      <w:pPr>
        <w:ind w:firstLine="440"/>
        <w:rPr>
          <w:szCs w:val="22"/>
        </w:rPr>
      </w:pPr>
      <w:r>
        <w:rPr>
          <w:rFonts w:hint="eastAsia"/>
          <w:szCs w:val="22"/>
        </w:rPr>
        <w:t>7</w:t>
      </w:r>
      <w:r>
        <w:rPr>
          <w:rFonts w:hint="eastAsia"/>
          <w:szCs w:val="22"/>
        </w:rPr>
        <w:t>月中旬</w:t>
      </w:r>
      <w:r w:rsidRPr="00873F34">
        <w:rPr>
          <w:rFonts w:hint="eastAsia"/>
          <w:szCs w:val="22"/>
        </w:rPr>
        <w:t>IEA</w:t>
      </w:r>
      <w:r w:rsidRPr="00873F34">
        <w:rPr>
          <w:rFonts w:hint="eastAsia"/>
          <w:szCs w:val="22"/>
        </w:rPr>
        <w:t>公布了最新的月报。供应方面，</w:t>
      </w:r>
      <w:r w:rsidRPr="00A837C1">
        <w:rPr>
          <w:rFonts w:hint="eastAsia"/>
          <w:szCs w:val="22"/>
        </w:rPr>
        <w:t>6</w:t>
      </w:r>
      <w:r w:rsidRPr="00873F34">
        <w:rPr>
          <w:rFonts w:hint="eastAsia"/>
          <w:szCs w:val="22"/>
        </w:rPr>
        <w:t>月全球原油产量增加</w:t>
      </w:r>
      <w:r w:rsidRPr="00A837C1">
        <w:rPr>
          <w:rFonts w:hint="eastAsia"/>
          <w:szCs w:val="22"/>
        </w:rPr>
        <w:t>72</w:t>
      </w:r>
      <w:r w:rsidRPr="00873F34">
        <w:rPr>
          <w:rFonts w:hint="eastAsia"/>
          <w:szCs w:val="22"/>
        </w:rPr>
        <w:t>万桶</w:t>
      </w:r>
      <w:r w:rsidRPr="00A837C1">
        <w:rPr>
          <w:rFonts w:hint="eastAsia"/>
          <w:szCs w:val="22"/>
        </w:rPr>
        <w:t>/</w:t>
      </w:r>
      <w:r w:rsidRPr="00873F34">
        <w:rPr>
          <w:rFonts w:hint="eastAsia"/>
          <w:szCs w:val="22"/>
        </w:rPr>
        <w:t>日至</w:t>
      </w:r>
      <w:r w:rsidRPr="00A837C1">
        <w:rPr>
          <w:rFonts w:hint="eastAsia"/>
          <w:szCs w:val="22"/>
        </w:rPr>
        <w:t>9746</w:t>
      </w:r>
      <w:r w:rsidRPr="00873F34">
        <w:rPr>
          <w:rFonts w:hint="eastAsia"/>
          <w:szCs w:val="22"/>
        </w:rPr>
        <w:t>万桶</w:t>
      </w:r>
      <w:r w:rsidRPr="00A837C1">
        <w:rPr>
          <w:rFonts w:hint="eastAsia"/>
          <w:szCs w:val="22"/>
        </w:rPr>
        <w:t>/</w:t>
      </w:r>
      <w:r w:rsidRPr="00873F34">
        <w:rPr>
          <w:rFonts w:hint="eastAsia"/>
          <w:szCs w:val="22"/>
        </w:rPr>
        <w:t>日。非欧佩克产油国坚定回归增产模式，</w:t>
      </w:r>
      <w:r w:rsidRPr="00A837C1">
        <w:rPr>
          <w:rFonts w:hint="eastAsia"/>
          <w:szCs w:val="22"/>
        </w:rPr>
        <w:t>6</w:t>
      </w:r>
      <w:r w:rsidRPr="00873F34">
        <w:rPr>
          <w:rFonts w:hint="eastAsia"/>
          <w:szCs w:val="22"/>
        </w:rPr>
        <w:t>月原油产量较去年同期高</w:t>
      </w:r>
      <w:r w:rsidRPr="00A837C1">
        <w:rPr>
          <w:rFonts w:hint="eastAsia"/>
          <w:szCs w:val="22"/>
        </w:rPr>
        <w:t>120</w:t>
      </w:r>
      <w:r w:rsidRPr="00873F34">
        <w:rPr>
          <w:rFonts w:hint="eastAsia"/>
          <w:szCs w:val="22"/>
        </w:rPr>
        <w:t>万桶</w:t>
      </w:r>
      <w:r w:rsidRPr="00A837C1">
        <w:rPr>
          <w:rFonts w:hint="eastAsia"/>
          <w:szCs w:val="22"/>
        </w:rPr>
        <w:t>/</w:t>
      </w:r>
      <w:r w:rsidRPr="00873F34">
        <w:rPr>
          <w:rFonts w:hint="eastAsia"/>
          <w:szCs w:val="22"/>
        </w:rPr>
        <w:t>日。预计</w:t>
      </w:r>
      <w:r w:rsidRPr="00A837C1">
        <w:rPr>
          <w:rFonts w:hint="eastAsia"/>
          <w:szCs w:val="22"/>
        </w:rPr>
        <w:t>2017</w:t>
      </w:r>
      <w:r w:rsidRPr="00873F34">
        <w:rPr>
          <w:rFonts w:hint="eastAsia"/>
          <w:szCs w:val="22"/>
        </w:rPr>
        <w:t>年非欧佩克产油国原油产量增速提高</w:t>
      </w:r>
      <w:r w:rsidRPr="00A837C1">
        <w:rPr>
          <w:rFonts w:hint="eastAsia"/>
          <w:szCs w:val="22"/>
        </w:rPr>
        <w:t>70</w:t>
      </w:r>
      <w:r w:rsidRPr="00873F34">
        <w:rPr>
          <w:rFonts w:hint="eastAsia"/>
          <w:szCs w:val="22"/>
        </w:rPr>
        <w:t>万桶</w:t>
      </w:r>
      <w:r w:rsidRPr="00A837C1">
        <w:rPr>
          <w:rFonts w:hint="eastAsia"/>
          <w:szCs w:val="22"/>
        </w:rPr>
        <w:t>/</w:t>
      </w:r>
      <w:r w:rsidRPr="00873F34">
        <w:rPr>
          <w:rFonts w:hint="eastAsia"/>
          <w:szCs w:val="22"/>
        </w:rPr>
        <w:t>日，</w:t>
      </w:r>
      <w:r w:rsidRPr="00A837C1">
        <w:rPr>
          <w:rFonts w:hint="eastAsia"/>
          <w:szCs w:val="22"/>
        </w:rPr>
        <w:t>2018</w:t>
      </w:r>
      <w:r w:rsidRPr="00873F34">
        <w:rPr>
          <w:rFonts w:hint="eastAsia"/>
          <w:szCs w:val="22"/>
        </w:rPr>
        <w:t>年增速提高</w:t>
      </w:r>
      <w:r w:rsidRPr="00A837C1">
        <w:rPr>
          <w:rFonts w:hint="eastAsia"/>
          <w:szCs w:val="22"/>
        </w:rPr>
        <w:t>140</w:t>
      </w:r>
      <w:r w:rsidRPr="00873F34">
        <w:rPr>
          <w:rFonts w:hint="eastAsia"/>
          <w:szCs w:val="22"/>
        </w:rPr>
        <w:t>万桶</w:t>
      </w:r>
      <w:r w:rsidRPr="00A837C1">
        <w:rPr>
          <w:rFonts w:hint="eastAsia"/>
          <w:szCs w:val="22"/>
        </w:rPr>
        <w:t>/</w:t>
      </w:r>
      <w:r w:rsidRPr="00873F34">
        <w:rPr>
          <w:rFonts w:hint="eastAsia"/>
          <w:szCs w:val="22"/>
        </w:rPr>
        <w:t>天。</w:t>
      </w:r>
    </w:p>
    <w:p w:rsidR="00DE5E5E" w:rsidRPr="00873F34" w:rsidRDefault="00DE5E5E" w:rsidP="00DE5E5E">
      <w:pPr>
        <w:ind w:firstLine="440"/>
        <w:rPr>
          <w:szCs w:val="22"/>
        </w:rPr>
      </w:pPr>
      <w:r w:rsidRPr="00873F34">
        <w:rPr>
          <w:rFonts w:hint="eastAsia"/>
          <w:szCs w:val="22"/>
        </w:rPr>
        <w:lastRenderedPageBreak/>
        <w:t>报告称因阿尔及利亚、厄瓜多尔、加蓬、伊拉克、阿联酋和委内瑞拉的产量高于协议规定水平，抵消了沙特、科威特、卡塔尔和安哥拉对减产协议的严格遵守。</w:t>
      </w:r>
      <w:r w:rsidRPr="00873F34">
        <w:rPr>
          <w:rFonts w:hint="eastAsia"/>
          <w:szCs w:val="22"/>
        </w:rPr>
        <w:t>6</w:t>
      </w:r>
      <w:r w:rsidRPr="00873F34">
        <w:rPr>
          <w:rFonts w:hint="eastAsia"/>
          <w:szCs w:val="22"/>
        </w:rPr>
        <w:t>月</w:t>
      </w:r>
      <w:r w:rsidRPr="00873F34">
        <w:rPr>
          <w:rFonts w:hint="eastAsia"/>
          <w:szCs w:val="22"/>
        </w:rPr>
        <w:t>OPEC</w:t>
      </w:r>
      <w:r w:rsidRPr="00873F34">
        <w:rPr>
          <w:rFonts w:hint="eastAsia"/>
          <w:szCs w:val="22"/>
        </w:rPr>
        <w:t>原油产量增加</w:t>
      </w:r>
      <w:r w:rsidRPr="00873F34">
        <w:rPr>
          <w:rFonts w:hint="eastAsia"/>
          <w:szCs w:val="22"/>
        </w:rPr>
        <w:t>34</w:t>
      </w:r>
      <w:r w:rsidRPr="00873F34">
        <w:rPr>
          <w:rFonts w:hint="eastAsia"/>
          <w:szCs w:val="22"/>
        </w:rPr>
        <w:t>万桶</w:t>
      </w:r>
      <w:r w:rsidRPr="00873F34">
        <w:rPr>
          <w:rFonts w:hint="eastAsia"/>
          <w:szCs w:val="22"/>
        </w:rPr>
        <w:t>/</w:t>
      </w:r>
      <w:r w:rsidRPr="00873F34">
        <w:rPr>
          <w:rFonts w:hint="eastAsia"/>
          <w:szCs w:val="22"/>
        </w:rPr>
        <w:t>日至</w:t>
      </w:r>
      <w:r w:rsidRPr="00873F34">
        <w:rPr>
          <w:rFonts w:hint="eastAsia"/>
          <w:szCs w:val="22"/>
        </w:rPr>
        <w:t>3260</w:t>
      </w:r>
      <w:r w:rsidRPr="00873F34">
        <w:rPr>
          <w:rFonts w:hint="eastAsia"/>
          <w:szCs w:val="22"/>
        </w:rPr>
        <w:t>万桶</w:t>
      </w:r>
      <w:r w:rsidRPr="00873F34">
        <w:rPr>
          <w:rFonts w:hint="eastAsia"/>
          <w:szCs w:val="22"/>
        </w:rPr>
        <w:t>/</w:t>
      </w:r>
      <w:r w:rsidRPr="00873F34">
        <w:rPr>
          <w:rFonts w:hint="eastAsia"/>
          <w:szCs w:val="22"/>
        </w:rPr>
        <w:t>日，为年内最高水平。</w:t>
      </w:r>
      <w:r w:rsidRPr="00873F34">
        <w:rPr>
          <w:rFonts w:hint="eastAsia"/>
          <w:szCs w:val="22"/>
        </w:rPr>
        <w:t>6</w:t>
      </w:r>
      <w:r w:rsidRPr="00873F34">
        <w:rPr>
          <w:rFonts w:hint="eastAsia"/>
          <w:szCs w:val="22"/>
        </w:rPr>
        <w:t>月份</w:t>
      </w:r>
      <w:r w:rsidRPr="00873F34">
        <w:rPr>
          <w:rFonts w:hint="eastAsia"/>
          <w:szCs w:val="22"/>
        </w:rPr>
        <w:t>OPEC</w:t>
      </w:r>
      <w:r w:rsidRPr="00873F34">
        <w:rPr>
          <w:rFonts w:hint="eastAsia"/>
          <w:szCs w:val="22"/>
        </w:rPr>
        <w:t>减产协议履行率为</w:t>
      </w:r>
      <w:r w:rsidRPr="00873F34">
        <w:rPr>
          <w:rFonts w:hint="eastAsia"/>
          <w:szCs w:val="22"/>
        </w:rPr>
        <w:t>78%</w:t>
      </w:r>
      <w:r w:rsidRPr="00873F34">
        <w:rPr>
          <w:rFonts w:hint="eastAsia"/>
          <w:szCs w:val="22"/>
        </w:rPr>
        <w:t>，为</w:t>
      </w:r>
      <w:r w:rsidRPr="00873F34">
        <w:rPr>
          <w:rFonts w:hint="eastAsia"/>
          <w:szCs w:val="22"/>
        </w:rPr>
        <w:t>6</w:t>
      </w:r>
      <w:r w:rsidRPr="00873F34">
        <w:rPr>
          <w:rFonts w:hint="eastAsia"/>
          <w:szCs w:val="22"/>
        </w:rPr>
        <w:t>个月以来最低，</w:t>
      </w:r>
      <w:r w:rsidRPr="00873F34">
        <w:rPr>
          <w:rFonts w:hint="eastAsia"/>
          <w:szCs w:val="22"/>
        </w:rPr>
        <w:t>5</w:t>
      </w:r>
      <w:r w:rsidRPr="00873F34">
        <w:rPr>
          <w:rFonts w:hint="eastAsia"/>
          <w:szCs w:val="22"/>
        </w:rPr>
        <w:t>月为</w:t>
      </w:r>
      <w:r w:rsidRPr="00873F34">
        <w:rPr>
          <w:rFonts w:hint="eastAsia"/>
          <w:szCs w:val="22"/>
        </w:rPr>
        <w:t>95%</w:t>
      </w:r>
      <w:r w:rsidRPr="00873F34">
        <w:rPr>
          <w:rFonts w:hint="eastAsia"/>
          <w:szCs w:val="22"/>
        </w:rPr>
        <w:t>；</w:t>
      </w:r>
      <w:r w:rsidRPr="00873F34">
        <w:rPr>
          <w:rFonts w:hint="eastAsia"/>
          <w:szCs w:val="22"/>
        </w:rPr>
        <w:t>6</w:t>
      </w:r>
      <w:r w:rsidRPr="00873F34">
        <w:rPr>
          <w:rFonts w:hint="eastAsia"/>
          <w:szCs w:val="22"/>
        </w:rPr>
        <w:t>月非</w:t>
      </w:r>
      <w:r w:rsidRPr="00873F34">
        <w:rPr>
          <w:rFonts w:hint="eastAsia"/>
          <w:szCs w:val="22"/>
        </w:rPr>
        <w:t>OPEC</w:t>
      </w:r>
      <w:r w:rsidRPr="00873F34">
        <w:rPr>
          <w:rFonts w:hint="eastAsia"/>
          <w:szCs w:val="22"/>
        </w:rPr>
        <w:t>减产协议履行率为</w:t>
      </w:r>
      <w:r w:rsidRPr="00873F34">
        <w:rPr>
          <w:rFonts w:hint="eastAsia"/>
          <w:szCs w:val="22"/>
        </w:rPr>
        <w:t>82%</w:t>
      </w:r>
      <w:r w:rsidRPr="00873F34">
        <w:rPr>
          <w:rFonts w:hint="eastAsia"/>
          <w:szCs w:val="22"/>
        </w:rPr>
        <w:t>。</w:t>
      </w:r>
    </w:p>
    <w:p w:rsidR="00DE5E5E" w:rsidRPr="00A837C1" w:rsidRDefault="00DE5E5E" w:rsidP="00DE5E5E">
      <w:pPr>
        <w:ind w:firstLine="440"/>
        <w:rPr>
          <w:szCs w:val="22"/>
        </w:rPr>
      </w:pPr>
      <w:r w:rsidRPr="00A837C1">
        <w:rPr>
          <w:szCs w:val="22"/>
        </w:rPr>
        <w:t>需求方面，</w:t>
      </w:r>
      <w:r w:rsidRPr="00A837C1">
        <w:rPr>
          <w:szCs w:val="22"/>
        </w:rPr>
        <w:t>2017</w:t>
      </w:r>
      <w:r w:rsidRPr="00A837C1">
        <w:rPr>
          <w:szCs w:val="22"/>
        </w:rPr>
        <w:t>年第一季度需求增长</w:t>
      </w:r>
      <w:r w:rsidRPr="00A837C1">
        <w:rPr>
          <w:szCs w:val="22"/>
        </w:rPr>
        <w:t>100</w:t>
      </w:r>
      <w:r w:rsidRPr="00A837C1">
        <w:rPr>
          <w:szCs w:val="22"/>
        </w:rPr>
        <w:t>万桶</w:t>
      </w:r>
      <w:r w:rsidRPr="00A837C1">
        <w:rPr>
          <w:szCs w:val="22"/>
        </w:rPr>
        <w:t>/</w:t>
      </w:r>
      <w:r w:rsidRPr="00A837C1">
        <w:rPr>
          <w:szCs w:val="22"/>
        </w:rPr>
        <w:t>日，预计第二季度需求增长速度将大幅提升至</w:t>
      </w:r>
      <w:r w:rsidRPr="00A837C1">
        <w:rPr>
          <w:szCs w:val="22"/>
        </w:rPr>
        <w:t>150</w:t>
      </w:r>
      <w:r w:rsidRPr="00A837C1">
        <w:rPr>
          <w:szCs w:val="22"/>
        </w:rPr>
        <w:t>万桶</w:t>
      </w:r>
      <w:r w:rsidRPr="00A837C1">
        <w:rPr>
          <w:szCs w:val="22"/>
        </w:rPr>
        <w:t>/</w:t>
      </w:r>
      <w:r w:rsidRPr="00A837C1">
        <w:rPr>
          <w:szCs w:val="22"/>
        </w:rPr>
        <w:t>日。预计</w:t>
      </w:r>
      <w:r w:rsidRPr="00A837C1">
        <w:rPr>
          <w:szCs w:val="22"/>
        </w:rPr>
        <w:t>2017</w:t>
      </w:r>
      <w:r w:rsidRPr="00A837C1">
        <w:rPr>
          <w:szCs w:val="22"/>
        </w:rPr>
        <w:t>年全年原油需求料将达到</w:t>
      </w:r>
      <w:r w:rsidRPr="00A837C1">
        <w:rPr>
          <w:szCs w:val="22"/>
        </w:rPr>
        <w:t>9800</w:t>
      </w:r>
      <w:r w:rsidRPr="00A837C1">
        <w:rPr>
          <w:szCs w:val="22"/>
        </w:rPr>
        <w:t>万桶</w:t>
      </w:r>
      <w:r w:rsidRPr="00A837C1">
        <w:rPr>
          <w:szCs w:val="22"/>
        </w:rPr>
        <w:t>/</w:t>
      </w:r>
      <w:r w:rsidRPr="00A837C1">
        <w:rPr>
          <w:szCs w:val="22"/>
        </w:rPr>
        <w:t>日。</w:t>
      </w:r>
      <w:r w:rsidRPr="00A837C1">
        <w:rPr>
          <w:szCs w:val="22"/>
        </w:rPr>
        <w:t>2017</w:t>
      </w:r>
      <w:r w:rsidRPr="00A837C1">
        <w:rPr>
          <w:szCs w:val="22"/>
        </w:rPr>
        <w:t>年原油需求增速预期上调</w:t>
      </w:r>
      <w:r w:rsidRPr="00A837C1">
        <w:rPr>
          <w:szCs w:val="22"/>
        </w:rPr>
        <w:t>10</w:t>
      </w:r>
      <w:r w:rsidRPr="00A837C1">
        <w:rPr>
          <w:szCs w:val="22"/>
        </w:rPr>
        <w:t>万桶</w:t>
      </w:r>
      <w:r w:rsidRPr="00A837C1">
        <w:rPr>
          <w:szCs w:val="22"/>
        </w:rPr>
        <w:t>/</w:t>
      </w:r>
      <w:r w:rsidRPr="00A837C1">
        <w:rPr>
          <w:szCs w:val="22"/>
        </w:rPr>
        <w:t>日至</w:t>
      </w:r>
      <w:r w:rsidRPr="00A837C1">
        <w:rPr>
          <w:szCs w:val="22"/>
        </w:rPr>
        <w:t>140</w:t>
      </w:r>
      <w:r w:rsidRPr="00A837C1">
        <w:rPr>
          <w:szCs w:val="22"/>
        </w:rPr>
        <w:t>万桶</w:t>
      </w:r>
      <w:r w:rsidRPr="00A837C1">
        <w:rPr>
          <w:szCs w:val="22"/>
        </w:rPr>
        <w:t>/</w:t>
      </w:r>
      <w:r w:rsidRPr="00A837C1">
        <w:rPr>
          <w:szCs w:val="22"/>
        </w:rPr>
        <w:t>日。预计</w:t>
      </w:r>
      <w:r w:rsidRPr="00A837C1">
        <w:rPr>
          <w:szCs w:val="22"/>
        </w:rPr>
        <w:t>2018</w:t>
      </w:r>
      <w:r w:rsidRPr="00A837C1">
        <w:rPr>
          <w:szCs w:val="22"/>
        </w:rPr>
        <w:t>年全球原油需求增速为</w:t>
      </w:r>
      <w:r w:rsidRPr="00A837C1">
        <w:rPr>
          <w:szCs w:val="22"/>
        </w:rPr>
        <w:t>140</w:t>
      </w:r>
      <w:r w:rsidRPr="00A837C1">
        <w:rPr>
          <w:szCs w:val="22"/>
        </w:rPr>
        <w:t>万桶</w:t>
      </w:r>
      <w:r w:rsidRPr="00A837C1">
        <w:rPr>
          <w:szCs w:val="22"/>
        </w:rPr>
        <w:t>/</w:t>
      </w:r>
      <w:r w:rsidRPr="00A837C1">
        <w:rPr>
          <w:szCs w:val="22"/>
        </w:rPr>
        <w:t>日，全球原油需求将增至</w:t>
      </w:r>
      <w:r w:rsidRPr="00A837C1">
        <w:rPr>
          <w:szCs w:val="22"/>
        </w:rPr>
        <w:t>9940</w:t>
      </w:r>
      <w:r w:rsidRPr="00A837C1">
        <w:rPr>
          <w:szCs w:val="22"/>
        </w:rPr>
        <w:t>万桶</w:t>
      </w:r>
      <w:r w:rsidRPr="00A837C1">
        <w:rPr>
          <w:szCs w:val="22"/>
        </w:rPr>
        <w:t>/</w:t>
      </w:r>
      <w:r w:rsidRPr="00A837C1">
        <w:rPr>
          <w:szCs w:val="22"/>
        </w:rPr>
        <w:t>日。</w:t>
      </w:r>
      <w:r w:rsidRPr="00A837C1">
        <w:rPr>
          <w:szCs w:val="22"/>
        </w:rPr>
        <w:t xml:space="preserve"> </w:t>
      </w:r>
    </w:p>
    <w:p w:rsidR="001D4384" w:rsidRDefault="00DE5E5E" w:rsidP="00F51743">
      <w:pPr>
        <w:spacing w:after="100" w:afterAutospacing="1"/>
        <w:ind w:firstLine="440"/>
        <w:rPr>
          <w:color w:val="auto"/>
        </w:rPr>
      </w:pPr>
      <w:r>
        <w:rPr>
          <w:rFonts w:hint="eastAsia"/>
          <w:szCs w:val="22"/>
        </w:rPr>
        <w:t>库存方面，</w:t>
      </w:r>
      <w:r w:rsidRPr="00873F34">
        <w:rPr>
          <w:rFonts w:hint="eastAsia"/>
          <w:szCs w:val="22"/>
        </w:rPr>
        <w:t>5</w:t>
      </w:r>
      <w:r w:rsidRPr="00873F34">
        <w:rPr>
          <w:rFonts w:hint="eastAsia"/>
          <w:szCs w:val="22"/>
        </w:rPr>
        <w:t>月经合组织工业原油库存下降了</w:t>
      </w:r>
      <w:r w:rsidRPr="00873F34">
        <w:rPr>
          <w:rFonts w:hint="eastAsia"/>
          <w:szCs w:val="22"/>
        </w:rPr>
        <w:t>600</w:t>
      </w:r>
      <w:r w:rsidRPr="00873F34">
        <w:rPr>
          <w:rFonts w:hint="eastAsia"/>
          <w:szCs w:val="22"/>
        </w:rPr>
        <w:t>万桶，目前</w:t>
      </w:r>
      <w:proofErr w:type="gramStart"/>
      <w:r w:rsidRPr="00873F34">
        <w:rPr>
          <w:rFonts w:hint="eastAsia"/>
          <w:szCs w:val="22"/>
        </w:rPr>
        <w:t>库存较</w:t>
      </w:r>
      <w:proofErr w:type="gramEnd"/>
      <w:r w:rsidRPr="00873F34">
        <w:rPr>
          <w:rFonts w:hint="eastAsia"/>
          <w:szCs w:val="22"/>
        </w:rPr>
        <w:t>5</w:t>
      </w:r>
      <w:r w:rsidRPr="00873F34">
        <w:rPr>
          <w:rFonts w:hint="eastAsia"/>
          <w:szCs w:val="22"/>
        </w:rPr>
        <w:t>年平均水平高出</w:t>
      </w:r>
      <w:r w:rsidRPr="00873F34">
        <w:rPr>
          <w:rFonts w:hint="eastAsia"/>
          <w:szCs w:val="22"/>
        </w:rPr>
        <w:t>2.66</w:t>
      </w:r>
      <w:r>
        <w:rPr>
          <w:rFonts w:hint="eastAsia"/>
          <w:szCs w:val="22"/>
        </w:rPr>
        <w:t>亿桶</w:t>
      </w:r>
      <w:r w:rsidR="00013179" w:rsidRPr="00CA21F4">
        <w:rPr>
          <w:szCs w:val="22"/>
        </w:rPr>
        <w:t> </w:t>
      </w:r>
      <w:r w:rsidR="001D4384" w:rsidRPr="00757C80">
        <w:rPr>
          <w:rFonts w:hint="eastAsia"/>
          <w:color w:val="auto"/>
        </w:rPr>
        <w:t>。</w:t>
      </w:r>
    </w:p>
    <w:tbl>
      <w:tblPr>
        <w:tblW w:w="5000" w:type="pct"/>
        <w:jc w:val="center"/>
        <w:tblBorders>
          <w:insideH w:val="single" w:sz="4" w:space="0" w:color="010281"/>
          <w:insideV w:val="single" w:sz="4" w:space="0" w:color="4F81BD"/>
        </w:tblBorders>
        <w:tblLook w:val="0000"/>
      </w:tblPr>
      <w:tblGrid>
        <w:gridCol w:w="9287"/>
      </w:tblGrid>
      <w:tr w:rsidR="005D1686" w:rsidRPr="00054A12" w:rsidTr="00C66F6F">
        <w:trPr>
          <w:trHeight w:val="317"/>
          <w:jc w:val="center"/>
        </w:trPr>
        <w:tc>
          <w:tcPr>
            <w:tcW w:w="9287" w:type="dxa"/>
            <w:tcBorders>
              <w:top w:val="single" w:sz="4" w:space="0" w:color="011380"/>
              <w:bottom w:val="single" w:sz="4" w:space="0" w:color="010281"/>
            </w:tcBorders>
          </w:tcPr>
          <w:p w:rsidR="005D1686" w:rsidRPr="00054A12" w:rsidRDefault="005D1686" w:rsidP="00905FF0">
            <w:pPr>
              <w:pStyle w:val="aa"/>
              <w:ind w:firstLineChars="0" w:firstLine="0"/>
              <w:rPr>
                <w:rFonts w:cs="宋体"/>
                <w:color w:val="auto"/>
              </w:rPr>
            </w:pPr>
            <w:r w:rsidRPr="005D1686">
              <w:rPr>
                <w:rFonts w:ascii="华文细黑" w:hAnsi="华文细黑" w:hint="eastAsia"/>
                <w:color w:val="auto"/>
                <w:kern w:val="2"/>
                <w:sz w:val="21"/>
              </w:rPr>
              <w:t>图</w:t>
            </w:r>
            <w:r w:rsidR="000B2373">
              <w:rPr>
                <w:rFonts w:ascii="华文细黑" w:hAnsi="华文细黑" w:hint="eastAsia"/>
                <w:color w:val="auto"/>
                <w:kern w:val="2"/>
                <w:sz w:val="21"/>
              </w:rPr>
              <w:t>5</w:t>
            </w:r>
            <w:r w:rsidRPr="005D1686">
              <w:rPr>
                <w:rFonts w:ascii="华文细黑" w:hAnsi="华文细黑" w:hint="eastAsia"/>
                <w:color w:val="auto"/>
                <w:kern w:val="2"/>
                <w:sz w:val="21"/>
              </w:rPr>
              <w:t>：</w:t>
            </w:r>
            <w:r w:rsidR="00905FF0">
              <w:rPr>
                <w:rFonts w:ascii="华文细黑" w:hAnsi="华文细黑" w:hint="eastAsia"/>
                <w:color w:val="auto"/>
                <w:kern w:val="2"/>
                <w:sz w:val="21"/>
              </w:rPr>
              <w:t>LLDPE产量变化</w:t>
            </w:r>
          </w:p>
        </w:tc>
      </w:tr>
      <w:tr w:rsidR="005D1686" w:rsidRPr="00054A12" w:rsidTr="00123EA6">
        <w:trPr>
          <w:trHeight w:val="2915"/>
          <w:jc w:val="center"/>
        </w:trPr>
        <w:tc>
          <w:tcPr>
            <w:tcW w:w="9287" w:type="dxa"/>
            <w:tcBorders>
              <w:top w:val="single" w:sz="4" w:space="0" w:color="010281"/>
              <w:bottom w:val="single" w:sz="4" w:space="0" w:color="010281"/>
            </w:tcBorders>
          </w:tcPr>
          <w:p w:rsidR="005D1686" w:rsidRPr="00054A12" w:rsidRDefault="00905FF0" w:rsidP="00C66F6F">
            <w:pPr>
              <w:ind w:firstLineChars="0" w:firstLine="0"/>
            </w:pPr>
            <w:r>
              <w:rPr>
                <w:noProof/>
              </w:rPr>
              <w:drawing>
                <wp:inline distT="0" distB="0" distL="0" distR="0">
                  <wp:extent cx="5753100" cy="3095625"/>
                  <wp:effectExtent l="1905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309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686" w:rsidRPr="00054A12" w:rsidTr="00C66F6F">
        <w:trPr>
          <w:trHeight w:val="71"/>
          <w:jc w:val="center"/>
        </w:trPr>
        <w:tc>
          <w:tcPr>
            <w:tcW w:w="9287" w:type="dxa"/>
            <w:tcBorders>
              <w:top w:val="single" w:sz="4" w:space="0" w:color="010281"/>
              <w:bottom w:val="single" w:sz="4" w:space="0" w:color="011380"/>
            </w:tcBorders>
          </w:tcPr>
          <w:p w:rsidR="005D1686" w:rsidRPr="00054A12" w:rsidRDefault="005D1686" w:rsidP="00C66F6F">
            <w:pPr>
              <w:pStyle w:val="ab"/>
              <w:ind w:firstLineChars="0" w:firstLine="0"/>
              <w:rPr>
                <w:color w:val="auto"/>
                <w:sz w:val="22"/>
              </w:rPr>
            </w:pPr>
            <w:r w:rsidRPr="00054A12">
              <w:rPr>
                <w:rFonts w:hAnsi="华文细黑" w:cs="宋体" w:hint="eastAsia"/>
                <w:sz w:val="18"/>
                <w:szCs w:val="18"/>
              </w:rPr>
              <w:t>数据来源：</w:t>
            </w:r>
            <w:r w:rsidRPr="00054A12">
              <w:rPr>
                <w:rFonts w:hint="eastAsia"/>
                <w:sz w:val="18"/>
                <w:szCs w:val="18"/>
              </w:rPr>
              <w:t>WIND</w:t>
            </w:r>
            <w:r w:rsidRPr="00054A12">
              <w:rPr>
                <w:rFonts w:hAnsi="华文细黑" w:cs="宋体" w:hint="eastAsia"/>
                <w:sz w:val="18"/>
                <w:szCs w:val="18"/>
              </w:rPr>
              <w:t>，</w:t>
            </w:r>
            <w:proofErr w:type="gramStart"/>
            <w:r w:rsidRPr="00054A12">
              <w:rPr>
                <w:rFonts w:hAnsi="华文细黑" w:cs="宋体" w:hint="eastAsia"/>
                <w:sz w:val="18"/>
                <w:szCs w:val="18"/>
              </w:rPr>
              <w:t>兴证期货</w:t>
            </w:r>
            <w:proofErr w:type="gramEnd"/>
            <w:r w:rsidRPr="00054A12">
              <w:rPr>
                <w:rFonts w:hAnsi="华文细黑" w:cs="宋体" w:hint="eastAsia"/>
                <w:sz w:val="18"/>
                <w:szCs w:val="18"/>
              </w:rPr>
              <w:t>研发部</w:t>
            </w:r>
          </w:p>
        </w:tc>
      </w:tr>
    </w:tbl>
    <w:p w:rsidR="001D4384" w:rsidRPr="004178BC" w:rsidRDefault="00905FF0" w:rsidP="00F51743">
      <w:pPr>
        <w:spacing w:after="100" w:afterAutospacing="1"/>
        <w:ind w:firstLine="440"/>
        <w:rPr>
          <w:color w:val="auto"/>
        </w:rPr>
      </w:pPr>
      <w:r>
        <w:rPr>
          <w:rFonts w:hint="eastAsia"/>
          <w:szCs w:val="22"/>
        </w:rPr>
        <w:t>7</w:t>
      </w:r>
      <w:r>
        <w:rPr>
          <w:rFonts w:hint="eastAsia"/>
          <w:szCs w:val="22"/>
        </w:rPr>
        <w:t>月份，国内</w:t>
      </w:r>
      <w:r>
        <w:rPr>
          <w:rFonts w:hint="eastAsia"/>
          <w:szCs w:val="22"/>
        </w:rPr>
        <w:t>PE</w:t>
      </w:r>
      <w:r>
        <w:rPr>
          <w:rFonts w:hint="eastAsia"/>
          <w:szCs w:val="22"/>
        </w:rPr>
        <w:t>总产量预估为</w:t>
      </w:r>
      <w:r>
        <w:rPr>
          <w:rFonts w:hint="eastAsia"/>
          <w:szCs w:val="22"/>
        </w:rPr>
        <w:t>121.9</w:t>
      </w:r>
      <w:r>
        <w:rPr>
          <w:rFonts w:hint="eastAsia"/>
          <w:szCs w:val="22"/>
        </w:rPr>
        <w:t>万吨左右，环比上升</w:t>
      </w:r>
      <w:r>
        <w:rPr>
          <w:rFonts w:hint="eastAsia"/>
          <w:szCs w:val="22"/>
        </w:rPr>
        <w:t>9.9%</w:t>
      </w:r>
      <w:r>
        <w:rPr>
          <w:rFonts w:hint="eastAsia"/>
          <w:szCs w:val="22"/>
        </w:rPr>
        <w:t>，同比上升</w:t>
      </w:r>
      <w:r w:rsidR="008B1FD0">
        <w:rPr>
          <w:rFonts w:hint="eastAsia"/>
          <w:szCs w:val="22"/>
        </w:rPr>
        <w:t>4.8%</w:t>
      </w:r>
      <w:r w:rsidR="008B1FD0">
        <w:rPr>
          <w:rFonts w:hint="eastAsia"/>
          <w:szCs w:val="22"/>
        </w:rPr>
        <w:t>。其中</w:t>
      </w:r>
      <w:r w:rsidR="008B1FD0">
        <w:rPr>
          <w:rFonts w:hint="eastAsia"/>
          <w:szCs w:val="22"/>
        </w:rPr>
        <w:t>LLDPE</w:t>
      </w:r>
      <w:r w:rsidR="008B1FD0">
        <w:rPr>
          <w:rFonts w:hint="eastAsia"/>
          <w:szCs w:val="22"/>
        </w:rPr>
        <w:t>产量预估为</w:t>
      </w:r>
      <w:r w:rsidR="008B1FD0">
        <w:rPr>
          <w:rFonts w:hint="eastAsia"/>
          <w:szCs w:val="22"/>
        </w:rPr>
        <w:t>53.5</w:t>
      </w:r>
      <w:r w:rsidR="008B1FD0">
        <w:rPr>
          <w:rFonts w:hint="eastAsia"/>
          <w:szCs w:val="22"/>
        </w:rPr>
        <w:t>万吨左右，环比上升</w:t>
      </w:r>
      <w:r w:rsidR="008B1FD0">
        <w:rPr>
          <w:rFonts w:hint="eastAsia"/>
          <w:szCs w:val="22"/>
        </w:rPr>
        <w:t>12.2%</w:t>
      </w:r>
      <w:r w:rsidR="008B1FD0">
        <w:rPr>
          <w:rFonts w:hint="eastAsia"/>
          <w:szCs w:val="22"/>
        </w:rPr>
        <w:t>，同比上升</w:t>
      </w:r>
      <w:r w:rsidR="008B1FD0">
        <w:rPr>
          <w:rFonts w:hint="eastAsia"/>
          <w:szCs w:val="22"/>
        </w:rPr>
        <w:t>2.5%</w:t>
      </w:r>
      <w:r w:rsidR="008B1FD0">
        <w:rPr>
          <w:rFonts w:hint="eastAsia"/>
          <w:szCs w:val="22"/>
        </w:rPr>
        <w:t>。</w:t>
      </w:r>
    </w:p>
    <w:tbl>
      <w:tblPr>
        <w:tblW w:w="5000" w:type="pct"/>
        <w:jc w:val="center"/>
        <w:tblBorders>
          <w:insideH w:val="single" w:sz="4" w:space="0" w:color="010281"/>
          <w:insideV w:val="single" w:sz="4" w:space="0" w:color="4F81BD"/>
        </w:tblBorders>
        <w:tblLook w:val="0000"/>
      </w:tblPr>
      <w:tblGrid>
        <w:gridCol w:w="9287"/>
      </w:tblGrid>
      <w:tr w:rsidR="005D1686" w:rsidRPr="00054A12" w:rsidTr="00C66F6F">
        <w:trPr>
          <w:trHeight w:val="317"/>
          <w:jc w:val="center"/>
        </w:trPr>
        <w:tc>
          <w:tcPr>
            <w:tcW w:w="9287" w:type="dxa"/>
            <w:tcBorders>
              <w:top w:val="single" w:sz="4" w:space="0" w:color="011380"/>
              <w:bottom w:val="single" w:sz="4" w:space="0" w:color="010281"/>
            </w:tcBorders>
          </w:tcPr>
          <w:p w:rsidR="005D1686" w:rsidRPr="00054A12" w:rsidRDefault="005D1686" w:rsidP="00726B03">
            <w:pPr>
              <w:pStyle w:val="aa"/>
              <w:ind w:firstLineChars="0" w:firstLine="0"/>
              <w:rPr>
                <w:rFonts w:cs="宋体"/>
                <w:color w:val="auto"/>
              </w:rPr>
            </w:pPr>
            <w:r w:rsidRPr="005D1686">
              <w:rPr>
                <w:rFonts w:ascii="华文细黑" w:hAnsi="华文细黑" w:hint="eastAsia"/>
                <w:color w:val="auto"/>
                <w:kern w:val="2"/>
                <w:sz w:val="21"/>
              </w:rPr>
              <w:t>图</w:t>
            </w:r>
            <w:r w:rsidR="000B2373">
              <w:rPr>
                <w:rFonts w:ascii="华文细黑" w:hAnsi="华文细黑" w:hint="eastAsia"/>
                <w:color w:val="auto"/>
                <w:kern w:val="2"/>
                <w:sz w:val="21"/>
              </w:rPr>
              <w:t>6</w:t>
            </w:r>
            <w:r w:rsidR="00013179">
              <w:rPr>
                <w:rFonts w:ascii="华文细黑" w:hAnsi="华文细黑" w:hint="eastAsia"/>
                <w:color w:val="auto"/>
                <w:kern w:val="2"/>
                <w:sz w:val="21"/>
              </w:rPr>
              <w:t>：</w:t>
            </w:r>
            <w:r w:rsidR="00726B03">
              <w:rPr>
                <w:rFonts w:ascii="华文细黑" w:hAnsi="华文细黑" w:hint="eastAsia"/>
                <w:color w:val="auto"/>
                <w:kern w:val="2"/>
                <w:sz w:val="21"/>
              </w:rPr>
              <w:t>LLDPE进口数量</w:t>
            </w:r>
          </w:p>
        </w:tc>
      </w:tr>
      <w:tr w:rsidR="005D1686" w:rsidRPr="00054A12" w:rsidTr="00C66F6F">
        <w:trPr>
          <w:trHeight w:val="2915"/>
          <w:jc w:val="center"/>
        </w:trPr>
        <w:tc>
          <w:tcPr>
            <w:tcW w:w="0" w:type="dxa"/>
            <w:tcBorders>
              <w:top w:val="single" w:sz="4" w:space="0" w:color="010281"/>
              <w:bottom w:val="single" w:sz="4" w:space="0" w:color="010281"/>
            </w:tcBorders>
          </w:tcPr>
          <w:p w:rsidR="005D1686" w:rsidRPr="00054A12" w:rsidRDefault="00726B03" w:rsidP="00C66F6F">
            <w:pPr>
              <w:ind w:firstLineChars="0" w:firstLine="0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753100" cy="3095625"/>
                  <wp:effectExtent l="19050" t="0" r="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309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686" w:rsidRPr="00054A12" w:rsidTr="00C66F6F">
        <w:trPr>
          <w:trHeight w:val="71"/>
          <w:jc w:val="center"/>
        </w:trPr>
        <w:tc>
          <w:tcPr>
            <w:tcW w:w="9287" w:type="dxa"/>
            <w:tcBorders>
              <w:top w:val="single" w:sz="4" w:space="0" w:color="010281"/>
              <w:bottom w:val="single" w:sz="4" w:space="0" w:color="011380"/>
            </w:tcBorders>
          </w:tcPr>
          <w:p w:rsidR="005D1686" w:rsidRPr="00054A12" w:rsidRDefault="005D1686" w:rsidP="00C66F6F">
            <w:pPr>
              <w:pStyle w:val="ab"/>
              <w:ind w:firstLineChars="0" w:firstLine="0"/>
              <w:rPr>
                <w:color w:val="auto"/>
                <w:sz w:val="22"/>
              </w:rPr>
            </w:pPr>
            <w:r w:rsidRPr="00054A12">
              <w:rPr>
                <w:rFonts w:hAnsi="华文细黑" w:cs="宋体" w:hint="eastAsia"/>
                <w:sz w:val="18"/>
                <w:szCs w:val="18"/>
              </w:rPr>
              <w:t>数据来源：</w:t>
            </w:r>
            <w:r w:rsidRPr="00054A12">
              <w:rPr>
                <w:rFonts w:hint="eastAsia"/>
                <w:sz w:val="18"/>
                <w:szCs w:val="18"/>
              </w:rPr>
              <w:t>WIND</w:t>
            </w:r>
            <w:r w:rsidRPr="00054A12">
              <w:rPr>
                <w:rFonts w:hAnsi="华文细黑" w:cs="宋体" w:hint="eastAsia"/>
                <w:sz w:val="18"/>
                <w:szCs w:val="18"/>
              </w:rPr>
              <w:t>，</w:t>
            </w:r>
            <w:proofErr w:type="gramStart"/>
            <w:r w:rsidRPr="00054A12">
              <w:rPr>
                <w:rFonts w:hAnsi="华文细黑" w:cs="宋体" w:hint="eastAsia"/>
                <w:sz w:val="18"/>
                <w:szCs w:val="18"/>
              </w:rPr>
              <w:t>兴证期货</w:t>
            </w:r>
            <w:proofErr w:type="gramEnd"/>
            <w:r w:rsidRPr="00054A12">
              <w:rPr>
                <w:rFonts w:hAnsi="华文细黑" w:cs="宋体" w:hint="eastAsia"/>
                <w:sz w:val="18"/>
                <w:szCs w:val="18"/>
              </w:rPr>
              <w:t>研发部</w:t>
            </w:r>
          </w:p>
        </w:tc>
      </w:tr>
    </w:tbl>
    <w:p w:rsidR="001D4384" w:rsidRPr="004178BC" w:rsidRDefault="00013179" w:rsidP="00F51743">
      <w:pPr>
        <w:spacing w:after="100" w:afterAutospacing="1"/>
        <w:ind w:firstLine="440"/>
        <w:rPr>
          <w:color w:val="auto"/>
        </w:rPr>
      </w:pPr>
      <w:r>
        <w:rPr>
          <w:rFonts w:hint="eastAsia"/>
          <w:color w:val="auto"/>
        </w:rPr>
        <w:t>据</w:t>
      </w:r>
      <w:r w:rsidR="002241C6">
        <w:rPr>
          <w:rFonts w:hint="eastAsia"/>
          <w:color w:val="auto"/>
        </w:rPr>
        <w:t>统计，</w:t>
      </w:r>
      <w:r w:rsidR="002241C6">
        <w:rPr>
          <w:rFonts w:hint="eastAsia"/>
          <w:color w:val="auto"/>
        </w:rPr>
        <w:t>6</w:t>
      </w:r>
      <w:r w:rsidR="002241C6">
        <w:rPr>
          <w:rFonts w:hint="eastAsia"/>
          <w:color w:val="auto"/>
        </w:rPr>
        <w:t>月份国内</w:t>
      </w:r>
      <w:r w:rsidR="002241C6">
        <w:rPr>
          <w:rFonts w:hint="eastAsia"/>
          <w:color w:val="auto"/>
        </w:rPr>
        <w:t>PE</w:t>
      </w:r>
      <w:r w:rsidR="002241C6">
        <w:rPr>
          <w:rFonts w:hint="eastAsia"/>
          <w:color w:val="auto"/>
        </w:rPr>
        <w:t>进口数量为</w:t>
      </w:r>
      <w:r w:rsidR="002241C6">
        <w:rPr>
          <w:rFonts w:hint="eastAsia"/>
          <w:color w:val="auto"/>
        </w:rPr>
        <w:t>86.5</w:t>
      </w:r>
      <w:r w:rsidR="002241C6">
        <w:rPr>
          <w:rFonts w:hint="eastAsia"/>
          <w:color w:val="auto"/>
        </w:rPr>
        <w:t>万吨左右，环比增加</w:t>
      </w:r>
      <w:r w:rsidR="002241C6">
        <w:rPr>
          <w:rFonts w:hint="eastAsia"/>
          <w:color w:val="auto"/>
        </w:rPr>
        <w:t>1.5%</w:t>
      </w:r>
      <w:r w:rsidR="002241C6">
        <w:rPr>
          <w:rFonts w:hint="eastAsia"/>
          <w:color w:val="auto"/>
        </w:rPr>
        <w:t>，同比增加</w:t>
      </w:r>
      <w:r w:rsidR="002241C6">
        <w:rPr>
          <w:rFonts w:hint="eastAsia"/>
          <w:color w:val="auto"/>
        </w:rPr>
        <w:t>13.2%</w:t>
      </w:r>
      <w:r w:rsidR="002241C6">
        <w:rPr>
          <w:rFonts w:hint="eastAsia"/>
          <w:color w:val="auto"/>
        </w:rPr>
        <w:t>。其中</w:t>
      </w:r>
      <w:r w:rsidR="002241C6">
        <w:rPr>
          <w:rFonts w:hint="eastAsia"/>
          <w:color w:val="auto"/>
        </w:rPr>
        <w:t>LLDPE</w:t>
      </w:r>
      <w:r w:rsidR="002241C6">
        <w:rPr>
          <w:rFonts w:hint="eastAsia"/>
          <w:color w:val="auto"/>
        </w:rPr>
        <w:t>进口数量为</w:t>
      </w:r>
      <w:r w:rsidR="002241C6">
        <w:rPr>
          <w:rFonts w:hint="eastAsia"/>
          <w:color w:val="auto"/>
        </w:rPr>
        <w:t>22.1</w:t>
      </w:r>
      <w:r w:rsidR="002241C6">
        <w:rPr>
          <w:rFonts w:hint="eastAsia"/>
          <w:color w:val="auto"/>
        </w:rPr>
        <w:t>万吨，环比增加</w:t>
      </w:r>
      <w:r w:rsidR="002241C6">
        <w:rPr>
          <w:rFonts w:hint="eastAsia"/>
          <w:color w:val="auto"/>
        </w:rPr>
        <w:t>10.5%</w:t>
      </w:r>
      <w:r w:rsidR="002241C6">
        <w:rPr>
          <w:rFonts w:hint="eastAsia"/>
          <w:color w:val="auto"/>
        </w:rPr>
        <w:t>，同比增加</w:t>
      </w:r>
      <w:r w:rsidR="002241C6">
        <w:rPr>
          <w:rFonts w:hint="eastAsia"/>
          <w:color w:val="auto"/>
        </w:rPr>
        <w:t>16.2%</w:t>
      </w:r>
      <w:r w:rsidR="002241C6">
        <w:rPr>
          <w:rFonts w:hint="eastAsia"/>
          <w:color w:val="auto"/>
        </w:rPr>
        <w:t>。当月进口均价在</w:t>
      </w:r>
      <w:r w:rsidR="002241C6">
        <w:rPr>
          <w:rFonts w:hint="eastAsia"/>
          <w:color w:val="auto"/>
        </w:rPr>
        <w:t>1203.4</w:t>
      </w:r>
      <w:r w:rsidR="002241C6">
        <w:rPr>
          <w:rFonts w:hint="eastAsia"/>
          <w:color w:val="auto"/>
        </w:rPr>
        <w:t>美元</w:t>
      </w:r>
      <w:r w:rsidR="002241C6">
        <w:rPr>
          <w:rFonts w:hint="eastAsia"/>
          <w:color w:val="auto"/>
        </w:rPr>
        <w:t>/</w:t>
      </w:r>
      <w:r w:rsidR="002241C6">
        <w:rPr>
          <w:rFonts w:hint="eastAsia"/>
          <w:color w:val="auto"/>
        </w:rPr>
        <w:t>吨</w:t>
      </w:r>
      <w:r w:rsidR="00B03291">
        <w:rPr>
          <w:rFonts w:hint="eastAsia"/>
          <w:color w:val="auto"/>
        </w:rPr>
        <w:t>。</w:t>
      </w:r>
    </w:p>
    <w:tbl>
      <w:tblPr>
        <w:tblW w:w="5000" w:type="pct"/>
        <w:jc w:val="center"/>
        <w:tblBorders>
          <w:insideH w:val="single" w:sz="4" w:space="0" w:color="010281"/>
          <w:insideV w:val="single" w:sz="4" w:space="0" w:color="4F81BD"/>
        </w:tblBorders>
        <w:tblLook w:val="0000"/>
      </w:tblPr>
      <w:tblGrid>
        <w:gridCol w:w="9287"/>
      </w:tblGrid>
      <w:tr w:rsidR="005D1686" w:rsidRPr="00054A12" w:rsidTr="00C66F6F">
        <w:trPr>
          <w:trHeight w:val="317"/>
          <w:jc w:val="center"/>
        </w:trPr>
        <w:tc>
          <w:tcPr>
            <w:tcW w:w="9287" w:type="dxa"/>
            <w:tcBorders>
              <w:top w:val="single" w:sz="4" w:space="0" w:color="011380"/>
              <w:bottom w:val="single" w:sz="4" w:space="0" w:color="010281"/>
            </w:tcBorders>
          </w:tcPr>
          <w:p w:rsidR="005D1686" w:rsidRPr="00BA39C1" w:rsidRDefault="005D1686" w:rsidP="00BA39C1">
            <w:pPr>
              <w:pStyle w:val="aa"/>
              <w:ind w:firstLineChars="0" w:firstLine="0"/>
              <w:rPr>
                <w:rFonts w:cs="宋体"/>
                <w:color w:val="auto"/>
              </w:rPr>
            </w:pPr>
            <w:r w:rsidRPr="00BA39C1">
              <w:rPr>
                <w:rFonts w:ascii="华文细黑" w:hAnsi="华文细黑" w:hint="eastAsia"/>
                <w:color w:val="auto"/>
                <w:kern w:val="2"/>
                <w:sz w:val="21"/>
              </w:rPr>
              <w:t>图</w:t>
            </w:r>
            <w:r w:rsidR="000B2373" w:rsidRPr="00BA39C1">
              <w:rPr>
                <w:rFonts w:ascii="华文细黑" w:hAnsi="华文细黑" w:hint="eastAsia"/>
                <w:color w:val="auto"/>
                <w:kern w:val="2"/>
                <w:sz w:val="21"/>
              </w:rPr>
              <w:t>7</w:t>
            </w:r>
            <w:r w:rsidRPr="00BA39C1">
              <w:rPr>
                <w:rFonts w:ascii="华文细黑" w:hAnsi="华文细黑" w:hint="eastAsia"/>
                <w:color w:val="auto"/>
                <w:kern w:val="2"/>
                <w:sz w:val="21"/>
              </w:rPr>
              <w:t>：</w:t>
            </w:r>
            <w:r w:rsidR="008955D9" w:rsidRPr="00BA39C1">
              <w:rPr>
                <w:rFonts w:hint="eastAsia"/>
                <w:color w:val="auto"/>
                <w:kern w:val="2"/>
                <w:sz w:val="22"/>
                <w:szCs w:val="24"/>
              </w:rPr>
              <w:t>国内塑料制品与塑料薄膜</w:t>
            </w:r>
            <w:r w:rsidR="00F34E2B" w:rsidRPr="00BA39C1">
              <w:rPr>
                <w:rFonts w:hint="eastAsia"/>
                <w:color w:val="auto"/>
                <w:kern w:val="2"/>
                <w:sz w:val="22"/>
                <w:szCs w:val="24"/>
              </w:rPr>
              <w:t>产量变化</w:t>
            </w:r>
          </w:p>
        </w:tc>
      </w:tr>
      <w:tr w:rsidR="005D1686" w:rsidRPr="00054A12" w:rsidTr="00C66F6F">
        <w:trPr>
          <w:trHeight w:val="2915"/>
          <w:jc w:val="center"/>
        </w:trPr>
        <w:tc>
          <w:tcPr>
            <w:tcW w:w="0" w:type="dxa"/>
            <w:tcBorders>
              <w:top w:val="single" w:sz="4" w:space="0" w:color="010281"/>
              <w:bottom w:val="single" w:sz="4" w:space="0" w:color="010281"/>
            </w:tcBorders>
          </w:tcPr>
          <w:p w:rsidR="005D1686" w:rsidRPr="00054A12" w:rsidRDefault="00302AC4" w:rsidP="00C66F6F">
            <w:pPr>
              <w:ind w:firstLineChars="0" w:firstLine="0"/>
            </w:pPr>
            <w:r>
              <w:rPr>
                <w:noProof/>
              </w:rPr>
              <w:drawing>
                <wp:inline distT="0" distB="0" distL="0" distR="0">
                  <wp:extent cx="5753100" cy="3095625"/>
                  <wp:effectExtent l="19050" t="0" r="0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309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686" w:rsidRPr="00054A12" w:rsidTr="00C66F6F">
        <w:trPr>
          <w:trHeight w:val="71"/>
          <w:jc w:val="center"/>
        </w:trPr>
        <w:tc>
          <w:tcPr>
            <w:tcW w:w="9287" w:type="dxa"/>
            <w:tcBorders>
              <w:top w:val="single" w:sz="4" w:space="0" w:color="010281"/>
              <w:bottom w:val="single" w:sz="4" w:space="0" w:color="011380"/>
            </w:tcBorders>
          </w:tcPr>
          <w:p w:rsidR="005D1686" w:rsidRPr="00054A12" w:rsidRDefault="005D1686" w:rsidP="00C66F6F">
            <w:pPr>
              <w:pStyle w:val="ab"/>
              <w:ind w:firstLineChars="0" w:firstLine="0"/>
              <w:rPr>
                <w:color w:val="auto"/>
                <w:sz w:val="22"/>
              </w:rPr>
            </w:pPr>
            <w:r w:rsidRPr="00054A12">
              <w:rPr>
                <w:rFonts w:hAnsi="华文细黑" w:cs="宋体" w:hint="eastAsia"/>
                <w:sz w:val="18"/>
                <w:szCs w:val="18"/>
              </w:rPr>
              <w:t>数据来源：</w:t>
            </w:r>
            <w:r w:rsidRPr="00054A12">
              <w:rPr>
                <w:rFonts w:hint="eastAsia"/>
                <w:sz w:val="18"/>
                <w:szCs w:val="18"/>
              </w:rPr>
              <w:t>WIND</w:t>
            </w:r>
            <w:r w:rsidRPr="00054A12">
              <w:rPr>
                <w:rFonts w:hAnsi="华文细黑" w:cs="宋体" w:hint="eastAsia"/>
                <w:sz w:val="18"/>
                <w:szCs w:val="18"/>
              </w:rPr>
              <w:t>，</w:t>
            </w:r>
            <w:proofErr w:type="gramStart"/>
            <w:r w:rsidRPr="00054A12">
              <w:rPr>
                <w:rFonts w:hAnsi="华文细黑" w:cs="宋体" w:hint="eastAsia"/>
                <w:sz w:val="18"/>
                <w:szCs w:val="18"/>
              </w:rPr>
              <w:t>兴证期货</w:t>
            </w:r>
            <w:proofErr w:type="gramEnd"/>
            <w:r w:rsidRPr="00054A12">
              <w:rPr>
                <w:rFonts w:hAnsi="华文细黑" w:cs="宋体" w:hint="eastAsia"/>
                <w:sz w:val="18"/>
                <w:szCs w:val="18"/>
              </w:rPr>
              <w:t>研发部</w:t>
            </w:r>
          </w:p>
        </w:tc>
      </w:tr>
    </w:tbl>
    <w:p w:rsidR="00123EA6" w:rsidRPr="004178BC" w:rsidRDefault="00BA39C1" w:rsidP="00F51743">
      <w:pPr>
        <w:spacing w:after="100" w:afterAutospacing="1"/>
        <w:ind w:firstLine="440"/>
        <w:rPr>
          <w:color w:val="auto"/>
        </w:rPr>
      </w:pPr>
      <w:r>
        <w:rPr>
          <w:rFonts w:hint="eastAsia"/>
          <w:szCs w:val="22"/>
        </w:rPr>
        <w:t>6</w:t>
      </w:r>
      <w:r>
        <w:rPr>
          <w:rFonts w:hint="eastAsia"/>
          <w:szCs w:val="22"/>
        </w:rPr>
        <w:t>月份，国内塑料制品产量为</w:t>
      </w:r>
      <w:r>
        <w:rPr>
          <w:rFonts w:hint="eastAsia"/>
          <w:szCs w:val="22"/>
        </w:rPr>
        <w:t>748.1</w:t>
      </w:r>
      <w:r>
        <w:rPr>
          <w:rFonts w:hint="eastAsia"/>
          <w:szCs w:val="22"/>
        </w:rPr>
        <w:t>万吨，环比上升</w:t>
      </w:r>
      <w:r>
        <w:rPr>
          <w:rFonts w:hint="eastAsia"/>
          <w:szCs w:val="22"/>
        </w:rPr>
        <w:t>10.9%</w:t>
      </w:r>
      <w:r>
        <w:rPr>
          <w:rFonts w:hint="eastAsia"/>
          <w:szCs w:val="22"/>
        </w:rPr>
        <w:t>，同比上升</w:t>
      </w:r>
      <w:r>
        <w:rPr>
          <w:rFonts w:hint="eastAsia"/>
          <w:szCs w:val="22"/>
        </w:rPr>
        <w:t>2.9%</w:t>
      </w:r>
      <w:r>
        <w:rPr>
          <w:rFonts w:hint="eastAsia"/>
          <w:szCs w:val="22"/>
        </w:rPr>
        <w:t>。</w:t>
      </w:r>
      <w:r>
        <w:rPr>
          <w:rFonts w:hint="eastAsia"/>
          <w:szCs w:val="22"/>
        </w:rPr>
        <w:t>5</w:t>
      </w:r>
      <w:r>
        <w:rPr>
          <w:rFonts w:hint="eastAsia"/>
          <w:szCs w:val="22"/>
        </w:rPr>
        <w:t>月份塑料薄膜产量为</w:t>
      </w:r>
      <w:r>
        <w:rPr>
          <w:rFonts w:hint="eastAsia"/>
          <w:szCs w:val="22"/>
        </w:rPr>
        <w:t>127.2</w:t>
      </w:r>
      <w:r>
        <w:rPr>
          <w:rFonts w:hint="eastAsia"/>
          <w:szCs w:val="22"/>
        </w:rPr>
        <w:t>万吨，环比上升</w:t>
      </w:r>
      <w:r>
        <w:rPr>
          <w:rFonts w:hint="eastAsia"/>
          <w:szCs w:val="22"/>
        </w:rPr>
        <w:t>3.1%</w:t>
      </w:r>
      <w:r>
        <w:rPr>
          <w:rFonts w:hint="eastAsia"/>
          <w:szCs w:val="22"/>
        </w:rPr>
        <w:t>，同比上升</w:t>
      </w:r>
      <w:r>
        <w:rPr>
          <w:rFonts w:hint="eastAsia"/>
          <w:szCs w:val="22"/>
        </w:rPr>
        <w:t>13.2%</w:t>
      </w:r>
      <w:r>
        <w:rPr>
          <w:rFonts w:hint="eastAsia"/>
          <w:szCs w:val="22"/>
        </w:rPr>
        <w:t>。农用薄膜产量为</w:t>
      </w:r>
      <w:r>
        <w:rPr>
          <w:rFonts w:hint="eastAsia"/>
          <w:szCs w:val="22"/>
        </w:rPr>
        <w:t>18.2</w:t>
      </w:r>
      <w:r>
        <w:rPr>
          <w:rFonts w:hint="eastAsia"/>
          <w:szCs w:val="22"/>
        </w:rPr>
        <w:t>万吨，环比下降</w:t>
      </w:r>
      <w:r>
        <w:rPr>
          <w:rFonts w:hint="eastAsia"/>
          <w:szCs w:val="22"/>
        </w:rPr>
        <w:t>12.1%</w:t>
      </w:r>
      <w:r>
        <w:rPr>
          <w:rFonts w:hint="eastAsia"/>
          <w:szCs w:val="22"/>
        </w:rPr>
        <w:t>，同比下降</w:t>
      </w:r>
      <w:r>
        <w:rPr>
          <w:rFonts w:hint="eastAsia"/>
          <w:szCs w:val="22"/>
        </w:rPr>
        <w:t>3.1%</w:t>
      </w:r>
      <w:r w:rsidR="001D4384" w:rsidRPr="0065566A">
        <w:rPr>
          <w:rFonts w:hint="eastAsia"/>
          <w:szCs w:val="22"/>
        </w:rPr>
        <w:t>。</w:t>
      </w:r>
      <w:r w:rsidR="007B497D" w:rsidRPr="0065566A">
        <w:rPr>
          <w:rFonts w:hint="eastAsia"/>
          <w:szCs w:val="22"/>
        </w:rPr>
        <w:t>目前刚进入</w:t>
      </w:r>
      <w:r w:rsidR="007B497D" w:rsidRPr="0065566A">
        <w:rPr>
          <w:rFonts w:hint="eastAsia"/>
          <w:szCs w:val="22"/>
        </w:rPr>
        <w:t>8</w:t>
      </w:r>
      <w:r w:rsidR="007B497D" w:rsidRPr="0065566A">
        <w:rPr>
          <w:rFonts w:hint="eastAsia"/>
          <w:szCs w:val="22"/>
        </w:rPr>
        <w:t>月份，农膜需求跟进缓慢，厂家开工率变化不大，后续还要继续跟踪企业开工率变化。</w:t>
      </w:r>
    </w:p>
    <w:tbl>
      <w:tblPr>
        <w:tblW w:w="5000" w:type="pct"/>
        <w:jc w:val="center"/>
        <w:tblBorders>
          <w:insideH w:val="single" w:sz="4" w:space="0" w:color="010281"/>
          <w:insideV w:val="single" w:sz="4" w:space="0" w:color="4F81BD"/>
        </w:tblBorders>
        <w:tblLook w:val="0000"/>
      </w:tblPr>
      <w:tblGrid>
        <w:gridCol w:w="9287"/>
      </w:tblGrid>
      <w:tr w:rsidR="00123EA6" w:rsidRPr="00054A12" w:rsidTr="001201A3">
        <w:trPr>
          <w:trHeight w:val="317"/>
          <w:jc w:val="center"/>
        </w:trPr>
        <w:tc>
          <w:tcPr>
            <w:tcW w:w="9287" w:type="dxa"/>
            <w:tcBorders>
              <w:top w:val="single" w:sz="4" w:space="0" w:color="011380"/>
              <w:bottom w:val="single" w:sz="4" w:space="0" w:color="010281"/>
            </w:tcBorders>
          </w:tcPr>
          <w:p w:rsidR="00123EA6" w:rsidRPr="00054A12" w:rsidRDefault="00123EA6" w:rsidP="00D13FE6">
            <w:pPr>
              <w:pStyle w:val="aa"/>
              <w:ind w:firstLineChars="0" w:firstLine="0"/>
              <w:rPr>
                <w:rFonts w:cs="宋体"/>
                <w:color w:val="auto"/>
              </w:rPr>
            </w:pPr>
            <w:r w:rsidRPr="005D1686">
              <w:rPr>
                <w:rFonts w:ascii="华文细黑" w:hAnsi="华文细黑" w:hint="eastAsia"/>
                <w:color w:val="auto"/>
                <w:kern w:val="2"/>
                <w:sz w:val="21"/>
              </w:rPr>
              <w:lastRenderedPageBreak/>
              <w:t>图</w:t>
            </w:r>
            <w:r w:rsidR="000B2373">
              <w:rPr>
                <w:rFonts w:ascii="华文细黑" w:hAnsi="华文细黑" w:hint="eastAsia"/>
                <w:color w:val="auto"/>
                <w:kern w:val="2"/>
                <w:sz w:val="21"/>
              </w:rPr>
              <w:t>8</w:t>
            </w:r>
            <w:r>
              <w:rPr>
                <w:rFonts w:ascii="华文细黑" w:hAnsi="华文细黑" w:hint="eastAsia"/>
                <w:color w:val="auto"/>
                <w:kern w:val="2"/>
                <w:sz w:val="21"/>
              </w:rPr>
              <w:t>：</w:t>
            </w:r>
            <w:r w:rsidR="00D13FE6">
              <w:rPr>
                <w:rFonts w:ascii="华文细黑" w:hAnsi="华文细黑" w:hint="eastAsia"/>
                <w:color w:val="auto"/>
                <w:kern w:val="2"/>
                <w:sz w:val="21"/>
              </w:rPr>
              <w:t>国内PE社会库存变化</w:t>
            </w:r>
          </w:p>
        </w:tc>
      </w:tr>
      <w:tr w:rsidR="00123EA6" w:rsidRPr="00054A12" w:rsidTr="00123EA6">
        <w:trPr>
          <w:trHeight w:val="2915"/>
          <w:jc w:val="center"/>
        </w:trPr>
        <w:tc>
          <w:tcPr>
            <w:tcW w:w="9287" w:type="dxa"/>
            <w:tcBorders>
              <w:top w:val="single" w:sz="4" w:space="0" w:color="010281"/>
              <w:bottom w:val="single" w:sz="4" w:space="0" w:color="010281"/>
            </w:tcBorders>
          </w:tcPr>
          <w:p w:rsidR="00123EA6" w:rsidRPr="00054A12" w:rsidRDefault="00D13FE6" w:rsidP="001201A3">
            <w:pPr>
              <w:ind w:firstLineChars="0" w:firstLine="0"/>
            </w:pPr>
            <w:r w:rsidRPr="00D13FE6">
              <w:drawing>
                <wp:inline distT="0" distB="0" distL="0" distR="0">
                  <wp:extent cx="5810250" cy="2657475"/>
                  <wp:effectExtent l="1905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0" cy="265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EA6" w:rsidRPr="00054A12" w:rsidTr="001201A3">
        <w:trPr>
          <w:trHeight w:val="71"/>
          <w:jc w:val="center"/>
        </w:trPr>
        <w:tc>
          <w:tcPr>
            <w:tcW w:w="9287" w:type="dxa"/>
            <w:tcBorders>
              <w:top w:val="single" w:sz="4" w:space="0" w:color="010281"/>
              <w:bottom w:val="single" w:sz="4" w:space="0" w:color="011380"/>
            </w:tcBorders>
          </w:tcPr>
          <w:p w:rsidR="00123EA6" w:rsidRPr="00054A12" w:rsidRDefault="00123EA6" w:rsidP="001201A3">
            <w:pPr>
              <w:pStyle w:val="ab"/>
              <w:ind w:firstLineChars="0" w:firstLine="0"/>
              <w:rPr>
                <w:color w:val="auto"/>
                <w:sz w:val="22"/>
              </w:rPr>
            </w:pPr>
            <w:r w:rsidRPr="00054A12">
              <w:rPr>
                <w:rFonts w:hAnsi="华文细黑" w:cs="宋体" w:hint="eastAsia"/>
                <w:sz w:val="18"/>
                <w:szCs w:val="18"/>
              </w:rPr>
              <w:t>数据来源：</w:t>
            </w:r>
            <w:r w:rsidRPr="00054A12">
              <w:rPr>
                <w:rFonts w:hint="eastAsia"/>
                <w:sz w:val="18"/>
                <w:szCs w:val="18"/>
              </w:rPr>
              <w:t>WIND</w:t>
            </w:r>
            <w:r w:rsidRPr="00054A12">
              <w:rPr>
                <w:rFonts w:hAnsi="华文细黑" w:cs="宋体" w:hint="eastAsia"/>
                <w:sz w:val="18"/>
                <w:szCs w:val="18"/>
              </w:rPr>
              <w:t>，</w:t>
            </w:r>
            <w:proofErr w:type="gramStart"/>
            <w:r w:rsidRPr="00054A12">
              <w:rPr>
                <w:rFonts w:hAnsi="华文细黑" w:cs="宋体" w:hint="eastAsia"/>
                <w:sz w:val="18"/>
                <w:szCs w:val="18"/>
              </w:rPr>
              <w:t>兴证期货</w:t>
            </w:r>
            <w:proofErr w:type="gramEnd"/>
            <w:r w:rsidRPr="00054A12">
              <w:rPr>
                <w:rFonts w:hAnsi="华文细黑" w:cs="宋体" w:hint="eastAsia"/>
                <w:sz w:val="18"/>
                <w:szCs w:val="18"/>
              </w:rPr>
              <w:t>研发部</w:t>
            </w:r>
          </w:p>
        </w:tc>
      </w:tr>
    </w:tbl>
    <w:p w:rsidR="00123EA6" w:rsidRPr="00D13FE6" w:rsidRDefault="00D13FE6" w:rsidP="00D13FE6">
      <w:pPr>
        <w:ind w:firstLine="440"/>
        <w:rPr>
          <w:szCs w:val="22"/>
        </w:rPr>
      </w:pPr>
      <w:r>
        <w:rPr>
          <w:rFonts w:hint="eastAsia"/>
          <w:szCs w:val="22"/>
        </w:rPr>
        <w:t>7</w:t>
      </w:r>
      <w:r>
        <w:rPr>
          <w:rFonts w:hint="eastAsia"/>
          <w:szCs w:val="22"/>
        </w:rPr>
        <w:t>月末，</w:t>
      </w:r>
      <w:r w:rsidRPr="00D13FE6">
        <w:rPr>
          <w:rFonts w:hint="eastAsia"/>
          <w:szCs w:val="22"/>
        </w:rPr>
        <w:t>国内四大地区部分石化库存在</w:t>
      </w:r>
      <w:r w:rsidRPr="00D13FE6">
        <w:rPr>
          <w:rFonts w:hint="eastAsia"/>
          <w:szCs w:val="22"/>
        </w:rPr>
        <w:t>4.9</w:t>
      </w:r>
      <w:r w:rsidRPr="00D13FE6">
        <w:rPr>
          <w:rFonts w:hint="eastAsia"/>
          <w:szCs w:val="22"/>
        </w:rPr>
        <w:t>万吨左右，较前一周增加</w:t>
      </w:r>
      <w:r w:rsidRPr="00D13FE6">
        <w:rPr>
          <w:rFonts w:hint="eastAsia"/>
          <w:szCs w:val="22"/>
        </w:rPr>
        <w:t>2.5%</w:t>
      </w:r>
      <w:r w:rsidRPr="00D13FE6">
        <w:rPr>
          <w:rFonts w:hint="eastAsia"/>
          <w:szCs w:val="22"/>
        </w:rPr>
        <w:t>。主要是华东地区石化库存增多带动。扬子石化装置开车，加之部分产品限量开单，从而造成石化库存增加。社会库存继续下降，降幅</w:t>
      </w:r>
      <w:r w:rsidRPr="00D13FE6">
        <w:rPr>
          <w:rFonts w:hint="eastAsia"/>
          <w:szCs w:val="22"/>
        </w:rPr>
        <w:t>3%</w:t>
      </w:r>
      <w:r w:rsidRPr="00D13FE6">
        <w:rPr>
          <w:rFonts w:hint="eastAsia"/>
          <w:szCs w:val="22"/>
        </w:rPr>
        <w:t>。据悉华北地区受货源调拨，部分企业装置开工率较低等因素的影响，导致该地区石化库存量降至历史低点。目前大型贸易商库存略增，特别是套保商，中小型贸易商库存不大。</w:t>
      </w:r>
    </w:p>
    <w:p w:rsidR="00123EA6" w:rsidRPr="00D13FE6" w:rsidRDefault="00D2619A" w:rsidP="00D13FE6">
      <w:pPr>
        <w:ind w:firstLine="440"/>
        <w:jc w:val="center"/>
        <w:rPr>
          <w:rFonts w:hint="eastAsia"/>
          <w:b/>
          <w:color w:val="auto"/>
        </w:rPr>
      </w:pPr>
      <w:r>
        <w:rPr>
          <w:rFonts w:hint="eastAsia"/>
          <w:b/>
          <w:color w:val="auto"/>
        </w:rPr>
        <w:t>还在检修中的装置</w:t>
      </w:r>
    </w:p>
    <w:tbl>
      <w:tblPr>
        <w:tblStyle w:val="a7"/>
        <w:tblW w:w="0" w:type="auto"/>
        <w:tblLook w:val="04A0"/>
      </w:tblPr>
      <w:tblGrid>
        <w:gridCol w:w="1857"/>
        <w:gridCol w:w="1857"/>
        <w:gridCol w:w="1857"/>
        <w:gridCol w:w="1858"/>
        <w:gridCol w:w="1858"/>
      </w:tblGrid>
      <w:tr w:rsidR="00D13FE6" w:rsidRPr="00D13FE6" w:rsidTr="00D13FE6">
        <w:tc>
          <w:tcPr>
            <w:tcW w:w="1857" w:type="dxa"/>
          </w:tcPr>
          <w:p w:rsidR="00D13FE6" w:rsidRPr="00D13FE6" w:rsidRDefault="00D13FE6" w:rsidP="00D13FE6">
            <w:pPr>
              <w:ind w:firstLineChars="0" w:firstLine="0"/>
              <w:jc w:val="center"/>
              <w:rPr>
                <w:rFonts w:hint="eastAsia"/>
                <w:b/>
                <w:color w:val="auto"/>
              </w:rPr>
            </w:pPr>
            <w:r w:rsidRPr="00D13FE6">
              <w:rPr>
                <w:rFonts w:hint="eastAsia"/>
                <w:b/>
                <w:color w:val="auto"/>
              </w:rPr>
              <w:t>企业名称</w:t>
            </w:r>
          </w:p>
        </w:tc>
        <w:tc>
          <w:tcPr>
            <w:tcW w:w="1857" w:type="dxa"/>
          </w:tcPr>
          <w:p w:rsidR="00D13FE6" w:rsidRPr="00D13FE6" w:rsidRDefault="00D13FE6" w:rsidP="00D13FE6">
            <w:pPr>
              <w:ind w:firstLineChars="0" w:firstLine="0"/>
              <w:jc w:val="center"/>
              <w:rPr>
                <w:rFonts w:hint="eastAsia"/>
                <w:b/>
                <w:color w:val="auto"/>
              </w:rPr>
            </w:pPr>
            <w:r w:rsidRPr="00D13FE6">
              <w:rPr>
                <w:rFonts w:hint="eastAsia"/>
                <w:b/>
                <w:color w:val="auto"/>
              </w:rPr>
              <w:t>检修产能（万吨）</w:t>
            </w:r>
          </w:p>
        </w:tc>
        <w:tc>
          <w:tcPr>
            <w:tcW w:w="1857" w:type="dxa"/>
          </w:tcPr>
          <w:p w:rsidR="00D13FE6" w:rsidRPr="00D13FE6" w:rsidRDefault="00D13FE6" w:rsidP="00D13FE6">
            <w:pPr>
              <w:ind w:firstLineChars="0" w:firstLine="0"/>
              <w:jc w:val="center"/>
              <w:rPr>
                <w:rFonts w:hint="eastAsia"/>
                <w:b/>
                <w:color w:val="auto"/>
              </w:rPr>
            </w:pPr>
            <w:r w:rsidRPr="00D13FE6">
              <w:rPr>
                <w:rFonts w:hint="eastAsia"/>
                <w:b/>
                <w:color w:val="auto"/>
              </w:rPr>
              <w:t>检修装置</w:t>
            </w:r>
          </w:p>
        </w:tc>
        <w:tc>
          <w:tcPr>
            <w:tcW w:w="1858" w:type="dxa"/>
          </w:tcPr>
          <w:p w:rsidR="00D13FE6" w:rsidRPr="00D13FE6" w:rsidRDefault="00D13FE6" w:rsidP="00D13FE6">
            <w:pPr>
              <w:ind w:firstLineChars="0" w:firstLine="0"/>
              <w:jc w:val="center"/>
              <w:rPr>
                <w:rFonts w:hint="eastAsia"/>
                <w:b/>
                <w:color w:val="auto"/>
              </w:rPr>
            </w:pPr>
            <w:r w:rsidRPr="00D13FE6">
              <w:rPr>
                <w:rFonts w:hint="eastAsia"/>
                <w:b/>
                <w:color w:val="auto"/>
              </w:rPr>
              <w:t>停车时间</w:t>
            </w:r>
          </w:p>
        </w:tc>
        <w:tc>
          <w:tcPr>
            <w:tcW w:w="1858" w:type="dxa"/>
          </w:tcPr>
          <w:p w:rsidR="00D13FE6" w:rsidRPr="00D13FE6" w:rsidRDefault="00D13FE6" w:rsidP="00D13FE6">
            <w:pPr>
              <w:ind w:firstLineChars="0" w:firstLine="0"/>
              <w:jc w:val="center"/>
              <w:rPr>
                <w:rFonts w:hint="eastAsia"/>
                <w:b/>
                <w:color w:val="auto"/>
              </w:rPr>
            </w:pPr>
            <w:r w:rsidRPr="00D13FE6">
              <w:rPr>
                <w:rFonts w:hint="eastAsia"/>
                <w:b/>
                <w:color w:val="auto"/>
              </w:rPr>
              <w:t>开车时间</w:t>
            </w:r>
          </w:p>
        </w:tc>
      </w:tr>
      <w:tr w:rsidR="00D13FE6" w:rsidTr="00D13FE6">
        <w:tc>
          <w:tcPr>
            <w:tcW w:w="1857" w:type="dxa"/>
          </w:tcPr>
          <w:p w:rsidR="00D13FE6" w:rsidRDefault="00D2619A" w:rsidP="00123EA6">
            <w:pPr>
              <w:ind w:firstLineChars="0"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盘锦乙烯</w:t>
            </w:r>
          </w:p>
        </w:tc>
        <w:tc>
          <w:tcPr>
            <w:tcW w:w="1857" w:type="dxa"/>
          </w:tcPr>
          <w:p w:rsidR="00D13FE6" w:rsidRDefault="00D2619A" w:rsidP="00123EA6">
            <w:pPr>
              <w:ind w:firstLineChars="0"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15</w:t>
            </w:r>
          </w:p>
        </w:tc>
        <w:tc>
          <w:tcPr>
            <w:tcW w:w="1857" w:type="dxa"/>
          </w:tcPr>
          <w:p w:rsidR="00D13FE6" w:rsidRDefault="00D2619A" w:rsidP="00123EA6">
            <w:pPr>
              <w:ind w:firstLineChars="0"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老低压一线</w:t>
            </w:r>
            <w:r>
              <w:rPr>
                <w:rFonts w:hint="eastAsia"/>
                <w:color w:val="auto"/>
              </w:rPr>
              <w:t>/</w:t>
            </w:r>
            <w:r>
              <w:rPr>
                <w:rFonts w:hint="eastAsia"/>
                <w:color w:val="auto"/>
              </w:rPr>
              <w:t>二线</w:t>
            </w:r>
          </w:p>
        </w:tc>
        <w:tc>
          <w:tcPr>
            <w:tcW w:w="1858" w:type="dxa"/>
          </w:tcPr>
          <w:p w:rsidR="00D13FE6" w:rsidRDefault="00D2619A" w:rsidP="00123EA6">
            <w:pPr>
              <w:ind w:firstLineChars="0"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14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>6</w:t>
            </w:r>
            <w:r>
              <w:rPr>
                <w:rFonts w:hint="eastAsia"/>
                <w:color w:val="auto"/>
              </w:rPr>
              <w:t>月</w:t>
            </w:r>
          </w:p>
        </w:tc>
        <w:tc>
          <w:tcPr>
            <w:tcW w:w="1858" w:type="dxa"/>
          </w:tcPr>
          <w:p w:rsidR="00D13FE6" w:rsidRDefault="00D2619A" w:rsidP="00123EA6">
            <w:pPr>
              <w:ind w:firstLineChars="0"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暂无开车计划</w:t>
            </w:r>
          </w:p>
        </w:tc>
      </w:tr>
      <w:tr w:rsidR="00D13FE6" w:rsidTr="00D13FE6">
        <w:tc>
          <w:tcPr>
            <w:tcW w:w="1857" w:type="dxa"/>
          </w:tcPr>
          <w:p w:rsidR="00D13FE6" w:rsidRDefault="00D2619A" w:rsidP="00123EA6">
            <w:pPr>
              <w:ind w:firstLineChars="0"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兰州石化</w:t>
            </w:r>
          </w:p>
        </w:tc>
        <w:tc>
          <w:tcPr>
            <w:tcW w:w="1857" w:type="dxa"/>
          </w:tcPr>
          <w:p w:rsidR="00D13FE6" w:rsidRDefault="00D2619A" w:rsidP="00123EA6">
            <w:pPr>
              <w:ind w:firstLineChars="0"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1857" w:type="dxa"/>
          </w:tcPr>
          <w:p w:rsidR="00D13FE6" w:rsidRDefault="00D2619A" w:rsidP="00123EA6">
            <w:pPr>
              <w:ind w:firstLineChars="0"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老全密度</w:t>
            </w:r>
          </w:p>
        </w:tc>
        <w:tc>
          <w:tcPr>
            <w:tcW w:w="1858" w:type="dxa"/>
          </w:tcPr>
          <w:p w:rsidR="00D13FE6" w:rsidRDefault="00D2619A" w:rsidP="00123EA6">
            <w:pPr>
              <w:ind w:firstLineChars="0"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13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>5</w:t>
            </w:r>
            <w:r>
              <w:rPr>
                <w:rFonts w:hint="eastAsia"/>
                <w:color w:val="auto"/>
              </w:rPr>
              <w:t>月</w:t>
            </w:r>
          </w:p>
        </w:tc>
        <w:tc>
          <w:tcPr>
            <w:tcW w:w="1858" w:type="dxa"/>
          </w:tcPr>
          <w:p w:rsidR="00D13FE6" w:rsidRDefault="00D2619A" w:rsidP="00123EA6">
            <w:pPr>
              <w:ind w:firstLineChars="0"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暂无开车计划</w:t>
            </w:r>
          </w:p>
        </w:tc>
      </w:tr>
      <w:tr w:rsidR="00D13FE6" w:rsidTr="00D13FE6">
        <w:tc>
          <w:tcPr>
            <w:tcW w:w="1857" w:type="dxa"/>
          </w:tcPr>
          <w:p w:rsidR="00D13FE6" w:rsidRDefault="00D2619A" w:rsidP="00123EA6">
            <w:pPr>
              <w:ind w:firstLineChars="0"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中天合创</w:t>
            </w:r>
          </w:p>
        </w:tc>
        <w:tc>
          <w:tcPr>
            <w:tcW w:w="1857" w:type="dxa"/>
          </w:tcPr>
          <w:p w:rsidR="00D13FE6" w:rsidRDefault="00D2619A" w:rsidP="00123EA6">
            <w:pPr>
              <w:ind w:firstLineChars="0"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30</w:t>
            </w:r>
          </w:p>
        </w:tc>
        <w:tc>
          <w:tcPr>
            <w:tcW w:w="1857" w:type="dxa"/>
          </w:tcPr>
          <w:p w:rsidR="00D13FE6" w:rsidRDefault="00D2619A" w:rsidP="00123EA6">
            <w:pPr>
              <w:ind w:firstLineChars="0"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线性</w:t>
            </w:r>
          </w:p>
        </w:tc>
        <w:tc>
          <w:tcPr>
            <w:tcW w:w="1858" w:type="dxa"/>
          </w:tcPr>
          <w:p w:rsidR="00D13FE6" w:rsidRDefault="00D2619A" w:rsidP="00123EA6">
            <w:pPr>
              <w:ind w:firstLineChars="0"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  <w:r>
              <w:rPr>
                <w:rFonts w:hint="eastAsia"/>
                <w:color w:val="auto"/>
              </w:rPr>
              <w:t>月中旬</w:t>
            </w:r>
          </w:p>
        </w:tc>
        <w:tc>
          <w:tcPr>
            <w:tcW w:w="1858" w:type="dxa"/>
          </w:tcPr>
          <w:p w:rsidR="00D13FE6" w:rsidRDefault="00D2619A" w:rsidP="00123EA6">
            <w:pPr>
              <w:ind w:firstLineChars="0"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不详</w:t>
            </w:r>
          </w:p>
        </w:tc>
      </w:tr>
      <w:tr w:rsidR="00D13FE6" w:rsidTr="00D13FE6">
        <w:tc>
          <w:tcPr>
            <w:tcW w:w="1857" w:type="dxa"/>
          </w:tcPr>
          <w:p w:rsidR="00D13FE6" w:rsidRDefault="00D2619A" w:rsidP="00123EA6">
            <w:pPr>
              <w:ind w:firstLineChars="0"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神华新疆</w:t>
            </w:r>
          </w:p>
        </w:tc>
        <w:tc>
          <w:tcPr>
            <w:tcW w:w="1857" w:type="dxa"/>
          </w:tcPr>
          <w:p w:rsidR="00D13FE6" w:rsidRDefault="00D2619A" w:rsidP="00123EA6">
            <w:pPr>
              <w:ind w:firstLineChars="0"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27</w:t>
            </w:r>
          </w:p>
        </w:tc>
        <w:tc>
          <w:tcPr>
            <w:tcW w:w="1857" w:type="dxa"/>
          </w:tcPr>
          <w:p w:rsidR="00D13FE6" w:rsidRDefault="00D2619A" w:rsidP="00123EA6">
            <w:pPr>
              <w:ind w:firstLineChars="0"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高压</w:t>
            </w:r>
          </w:p>
        </w:tc>
        <w:tc>
          <w:tcPr>
            <w:tcW w:w="1858" w:type="dxa"/>
          </w:tcPr>
          <w:p w:rsidR="00D13FE6" w:rsidRDefault="00D2619A" w:rsidP="00123EA6">
            <w:pPr>
              <w:ind w:firstLineChars="0"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>21</w:t>
            </w:r>
            <w:r>
              <w:rPr>
                <w:rFonts w:hint="eastAsia"/>
                <w:color w:val="auto"/>
              </w:rPr>
              <w:t>日</w:t>
            </w:r>
          </w:p>
        </w:tc>
        <w:tc>
          <w:tcPr>
            <w:tcW w:w="1858" w:type="dxa"/>
          </w:tcPr>
          <w:p w:rsidR="00D13FE6" w:rsidRDefault="00D2619A" w:rsidP="00123EA6">
            <w:pPr>
              <w:ind w:firstLineChars="0"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>22</w:t>
            </w:r>
            <w:r>
              <w:rPr>
                <w:rFonts w:hint="eastAsia"/>
                <w:color w:val="auto"/>
              </w:rPr>
              <w:t>日</w:t>
            </w:r>
          </w:p>
        </w:tc>
      </w:tr>
      <w:tr w:rsidR="00D2619A" w:rsidTr="00D13FE6">
        <w:tc>
          <w:tcPr>
            <w:tcW w:w="1857" w:type="dxa"/>
          </w:tcPr>
          <w:p w:rsidR="00D2619A" w:rsidRDefault="00D2619A" w:rsidP="00123EA6">
            <w:pPr>
              <w:ind w:firstLineChars="0"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燕山石化</w:t>
            </w:r>
          </w:p>
        </w:tc>
        <w:tc>
          <w:tcPr>
            <w:tcW w:w="1857" w:type="dxa"/>
          </w:tcPr>
          <w:p w:rsidR="00D2619A" w:rsidRDefault="00D2619A" w:rsidP="00123EA6">
            <w:pPr>
              <w:ind w:firstLineChars="0"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1857" w:type="dxa"/>
          </w:tcPr>
          <w:p w:rsidR="00D2619A" w:rsidRDefault="00D2619A" w:rsidP="00123EA6">
            <w:pPr>
              <w:ind w:firstLineChars="0"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老高压三线</w:t>
            </w:r>
          </w:p>
        </w:tc>
        <w:tc>
          <w:tcPr>
            <w:tcW w:w="1858" w:type="dxa"/>
          </w:tcPr>
          <w:p w:rsidR="00D2619A" w:rsidRDefault="00D2619A" w:rsidP="00123EA6">
            <w:pPr>
              <w:ind w:firstLineChars="0"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>24</w:t>
            </w:r>
            <w:r>
              <w:rPr>
                <w:rFonts w:hint="eastAsia"/>
                <w:color w:val="auto"/>
              </w:rPr>
              <w:t>日</w:t>
            </w:r>
          </w:p>
        </w:tc>
        <w:tc>
          <w:tcPr>
            <w:tcW w:w="1858" w:type="dxa"/>
          </w:tcPr>
          <w:p w:rsidR="00D2619A" w:rsidRDefault="00D2619A" w:rsidP="00123EA6">
            <w:pPr>
              <w:ind w:firstLineChars="0"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中修</w:t>
            </w:r>
            <w:r>
              <w:rPr>
                <w:rFonts w:hint="eastAsia"/>
                <w:color w:val="auto"/>
              </w:rPr>
              <w:t>5</w:t>
            </w:r>
            <w:r>
              <w:rPr>
                <w:rFonts w:hint="eastAsia"/>
                <w:color w:val="auto"/>
              </w:rPr>
              <w:t>天</w:t>
            </w:r>
          </w:p>
        </w:tc>
      </w:tr>
    </w:tbl>
    <w:p w:rsidR="00D13FE6" w:rsidRDefault="00D2619A" w:rsidP="00F51743">
      <w:pPr>
        <w:spacing w:after="100" w:afterAutospacing="1"/>
        <w:ind w:firstLine="440"/>
        <w:rPr>
          <w:rFonts w:hint="eastAsia"/>
          <w:color w:val="auto"/>
        </w:rPr>
      </w:pPr>
      <w:r>
        <w:rPr>
          <w:rFonts w:hint="eastAsia"/>
          <w:color w:val="auto"/>
        </w:rPr>
        <w:t>进入</w:t>
      </w:r>
      <w:r>
        <w:rPr>
          <w:rFonts w:hint="eastAsia"/>
          <w:color w:val="auto"/>
        </w:rPr>
        <w:t>8</w:t>
      </w:r>
      <w:r>
        <w:rPr>
          <w:rFonts w:hint="eastAsia"/>
          <w:color w:val="auto"/>
        </w:rPr>
        <w:t>月，传统检修集中时间基本</w:t>
      </w:r>
      <w:r w:rsidRPr="00D2619A">
        <w:rPr>
          <w:rFonts w:hint="eastAsia"/>
          <w:color w:val="auto"/>
        </w:rPr>
        <w:t>结束，</w:t>
      </w:r>
      <w:r>
        <w:rPr>
          <w:rFonts w:hint="eastAsia"/>
          <w:color w:val="auto"/>
        </w:rPr>
        <w:t>目前</w:t>
      </w:r>
      <w:r w:rsidRPr="00D2619A">
        <w:rPr>
          <w:rFonts w:hint="eastAsia"/>
          <w:color w:val="auto"/>
        </w:rPr>
        <w:t>恢复开车装置涉及产能在</w:t>
      </w:r>
      <w:r w:rsidRPr="00D2619A">
        <w:rPr>
          <w:rFonts w:hint="eastAsia"/>
          <w:color w:val="auto"/>
        </w:rPr>
        <w:t>205</w:t>
      </w:r>
      <w:r w:rsidRPr="00D2619A">
        <w:rPr>
          <w:rFonts w:hint="eastAsia"/>
          <w:color w:val="auto"/>
        </w:rPr>
        <w:t>万吨左右，较</w:t>
      </w:r>
      <w:r>
        <w:rPr>
          <w:rFonts w:hint="eastAsia"/>
          <w:color w:val="auto"/>
        </w:rPr>
        <w:t>6</w:t>
      </w:r>
      <w:r w:rsidRPr="00D2619A">
        <w:rPr>
          <w:rFonts w:hint="eastAsia"/>
          <w:color w:val="auto"/>
        </w:rPr>
        <w:t>月底已经开车的装置产能更大。上述产能正常生产以及货物的运输仍需要一周以及更长时间，恢复装置产量多数将于</w:t>
      </w:r>
      <w:r w:rsidRPr="00D2619A">
        <w:rPr>
          <w:rFonts w:hint="eastAsia"/>
          <w:color w:val="auto"/>
        </w:rPr>
        <w:t>7</w:t>
      </w:r>
      <w:r w:rsidRPr="00D2619A">
        <w:rPr>
          <w:rFonts w:hint="eastAsia"/>
          <w:color w:val="auto"/>
        </w:rPr>
        <w:t>月底</w:t>
      </w:r>
      <w:r w:rsidRPr="00D2619A">
        <w:rPr>
          <w:rFonts w:hint="eastAsia"/>
          <w:color w:val="auto"/>
        </w:rPr>
        <w:t>8</w:t>
      </w:r>
      <w:r w:rsidRPr="00D2619A">
        <w:rPr>
          <w:rFonts w:hint="eastAsia"/>
          <w:color w:val="auto"/>
        </w:rPr>
        <w:t>月初供应主要市场，供应压力或对</w:t>
      </w:r>
      <w:r w:rsidR="00442582">
        <w:rPr>
          <w:rFonts w:hint="eastAsia"/>
          <w:color w:val="auto"/>
        </w:rPr>
        <w:t>8</w:t>
      </w:r>
      <w:r w:rsidRPr="00D2619A">
        <w:rPr>
          <w:rFonts w:hint="eastAsia"/>
          <w:color w:val="auto"/>
        </w:rPr>
        <w:t>月份影响</w:t>
      </w:r>
      <w:r w:rsidR="00442582">
        <w:rPr>
          <w:rFonts w:hint="eastAsia"/>
          <w:color w:val="auto"/>
        </w:rPr>
        <w:t>更大</w:t>
      </w:r>
      <w:r w:rsidRPr="00D2619A">
        <w:rPr>
          <w:rFonts w:hint="eastAsia"/>
          <w:color w:val="auto"/>
        </w:rPr>
        <w:t>。</w:t>
      </w:r>
    </w:p>
    <w:p w:rsidR="00442582" w:rsidRPr="00442582" w:rsidRDefault="00442582" w:rsidP="00442582">
      <w:pPr>
        <w:ind w:firstLine="440"/>
        <w:jc w:val="center"/>
        <w:rPr>
          <w:rFonts w:hint="eastAsia"/>
          <w:b/>
          <w:color w:val="auto"/>
        </w:rPr>
      </w:pPr>
      <w:r w:rsidRPr="00442582">
        <w:rPr>
          <w:rFonts w:hint="eastAsia"/>
          <w:b/>
          <w:color w:val="auto"/>
        </w:rPr>
        <w:t>下半年国内新增产能计划</w:t>
      </w:r>
    </w:p>
    <w:tbl>
      <w:tblPr>
        <w:tblStyle w:val="a7"/>
        <w:tblW w:w="0" w:type="auto"/>
        <w:tblLook w:val="04A0"/>
      </w:tblPr>
      <w:tblGrid>
        <w:gridCol w:w="2321"/>
        <w:gridCol w:w="2322"/>
        <w:gridCol w:w="2322"/>
        <w:gridCol w:w="2322"/>
      </w:tblGrid>
      <w:tr w:rsidR="00442582" w:rsidTr="00442582">
        <w:tc>
          <w:tcPr>
            <w:tcW w:w="2321" w:type="dxa"/>
          </w:tcPr>
          <w:p w:rsidR="00442582" w:rsidRPr="00442582" w:rsidRDefault="00442582" w:rsidP="00442582">
            <w:pPr>
              <w:ind w:firstLineChars="0" w:firstLine="0"/>
              <w:jc w:val="center"/>
              <w:rPr>
                <w:rFonts w:hint="eastAsia"/>
                <w:b/>
                <w:color w:val="auto"/>
              </w:rPr>
            </w:pPr>
            <w:r w:rsidRPr="00442582">
              <w:rPr>
                <w:rFonts w:hint="eastAsia"/>
                <w:b/>
                <w:color w:val="auto"/>
              </w:rPr>
              <w:t>企业名称</w:t>
            </w:r>
          </w:p>
        </w:tc>
        <w:tc>
          <w:tcPr>
            <w:tcW w:w="2322" w:type="dxa"/>
          </w:tcPr>
          <w:p w:rsidR="00442582" w:rsidRPr="00442582" w:rsidRDefault="00442582" w:rsidP="00442582">
            <w:pPr>
              <w:ind w:firstLineChars="0" w:firstLine="0"/>
              <w:jc w:val="center"/>
              <w:rPr>
                <w:rFonts w:hint="eastAsia"/>
                <w:b/>
                <w:color w:val="auto"/>
              </w:rPr>
            </w:pPr>
            <w:r w:rsidRPr="00442582">
              <w:rPr>
                <w:rFonts w:hint="eastAsia"/>
                <w:b/>
                <w:color w:val="auto"/>
              </w:rPr>
              <w:t>装置类别</w:t>
            </w:r>
          </w:p>
        </w:tc>
        <w:tc>
          <w:tcPr>
            <w:tcW w:w="2322" w:type="dxa"/>
          </w:tcPr>
          <w:p w:rsidR="00442582" w:rsidRPr="00442582" w:rsidRDefault="00442582" w:rsidP="00442582">
            <w:pPr>
              <w:ind w:firstLineChars="0" w:firstLine="0"/>
              <w:jc w:val="center"/>
              <w:rPr>
                <w:rFonts w:hint="eastAsia"/>
                <w:b/>
                <w:color w:val="auto"/>
              </w:rPr>
            </w:pPr>
            <w:r w:rsidRPr="00442582">
              <w:rPr>
                <w:rFonts w:hint="eastAsia"/>
                <w:b/>
                <w:color w:val="auto"/>
              </w:rPr>
              <w:t>产能（万吨）</w:t>
            </w:r>
          </w:p>
        </w:tc>
        <w:tc>
          <w:tcPr>
            <w:tcW w:w="2322" w:type="dxa"/>
          </w:tcPr>
          <w:p w:rsidR="00442582" w:rsidRPr="00442582" w:rsidRDefault="00442582" w:rsidP="00442582">
            <w:pPr>
              <w:ind w:firstLineChars="0" w:firstLine="0"/>
              <w:jc w:val="center"/>
              <w:rPr>
                <w:rFonts w:hint="eastAsia"/>
                <w:b/>
                <w:color w:val="auto"/>
              </w:rPr>
            </w:pPr>
            <w:r w:rsidRPr="00442582">
              <w:rPr>
                <w:rFonts w:hint="eastAsia"/>
                <w:b/>
                <w:color w:val="auto"/>
              </w:rPr>
              <w:t>计划投产时间</w:t>
            </w:r>
          </w:p>
        </w:tc>
      </w:tr>
      <w:tr w:rsidR="00442582" w:rsidTr="00442582">
        <w:tc>
          <w:tcPr>
            <w:tcW w:w="2321" w:type="dxa"/>
          </w:tcPr>
          <w:p w:rsidR="00442582" w:rsidRDefault="00442582" w:rsidP="00123EA6">
            <w:pPr>
              <w:ind w:firstLineChars="0"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江苏斯尔邦</w:t>
            </w:r>
          </w:p>
        </w:tc>
        <w:tc>
          <w:tcPr>
            <w:tcW w:w="2322" w:type="dxa"/>
          </w:tcPr>
          <w:p w:rsidR="00442582" w:rsidRDefault="00442582" w:rsidP="00123EA6">
            <w:pPr>
              <w:ind w:firstLineChars="0"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LDPE/EVA</w:t>
            </w:r>
          </w:p>
        </w:tc>
        <w:tc>
          <w:tcPr>
            <w:tcW w:w="2322" w:type="dxa"/>
          </w:tcPr>
          <w:p w:rsidR="00442582" w:rsidRDefault="00442582" w:rsidP="00123EA6">
            <w:pPr>
              <w:ind w:firstLineChars="0"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30</w:t>
            </w:r>
          </w:p>
        </w:tc>
        <w:tc>
          <w:tcPr>
            <w:tcW w:w="2322" w:type="dxa"/>
          </w:tcPr>
          <w:p w:rsidR="00442582" w:rsidRDefault="00442582" w:rsidP="00123EA6">
            <w:pPr>
              <w:ind w:firstLineChars="0"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  <w:r>
              <w:rPr>
                <w:rFonts w:hint="eastAsia"/>
                <w:color w:val="auto"/>
              </w:rPr>
              <w:t>月</w:t>
            </w:r>
          </w:p>
        </w:tc>
      </w:tr>
      <w:tr w:rsidR="00442582" w:rsidTr="00442582">
        <w:tc>
          <w:tcPr>
            <w:tcW w:w="2321" w:type="dxa"/>
          </w:tcPr>
          <w:p w:rsidR="00442582" w:rsidRDefault="00442582" w:rsidP="00123EA6">
            <w:pPr>
              <w:ind w:firstLineChars="0"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中天合创</w:t>
            </w:r>
          </w:p>
        </w:tc>
        <w:tc>
          <w:tcPr>
            <w:tcW w:w="2322" w:type="dxa"/>
          </w:tcPr>
          <w:p w:rsidR="00442582" w:rsidRDefault="00442582" w:rsidP="00123EA6">
            <w:pPr>
              <w:ind w:firstLineChars="0"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LDPE</w:t>
            </w:r>
          </w:p>
        </w:tc>
        <w:tc>
          <w:tcPr>
            <w:tcW w:w="2322" w:type="dxa"/>
          </w:tcPr>
          <w:p w:rsidR="00442582" w:rsidRDefault="00442582" w:rsidP="00123EA6">
            <w:pPr>
              <w:ind w:firstLineChars="0"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37</w:t>
            </w:r>
          </w:p>
        </w:tc>
        <w:tc>
          <w:tcPr>
            <w:tcW w:w="2322" w:type="dxa"/>
          </w:tcPr>
          <w:p w:rsidR="00442582" w:rsidRDefault="00442582" w:rsidP="00123EA6">
            <w:pPr>
              <w:ind w:firstLineChars="0"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  <w:r>
              <w:rPr>
                <w:rFonts w:hint="eastAsia"/>
                <w:color w:val="auto"/>
              </w:rPr>
              <w:t>月</w:t>
            </w:r>
          </w:p>
        </w:tc>
      </w:tr>
      <w:tr w:rsidR="00442582" w:rsidTr="00442582">
        <w:tc>
          <w:tcPr>
            <w:tcW w:w="2321" w:type="dxa"/>
          </w:tcPr>
          <w:p w:rsidR="00442582" w:rsidRDefault="00442582" w:rsidP="00123EA6">
            <w:pPr>
              <w:ind w:firstLineChars="0"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神华宁煤</w:t>
            </w:r>
          </w:p>
        </w:tc>
        <w:tc>
          <w:tcPr>
            <w:tcW w:w="2322" w:type="dxa"/>
          </w:tcPr>
          <w:p w:rsidR="00442582" w:rsidRDefault="00442582" w:rsidP="00123EA6">
            <w:pPr>
              <w:ind w:firstLineChars="0"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PE</w:t>
            </w:r>
          </w:p>
        </w:tc>
        <w:tc>
          <w:tcPr>
            <w:tcW w:w="2322" w:type="dxa"/>
          </w:tcPr>
          <w:p w:rsidR="00442582" w:rsidRDefault="00442582" w:rsidP="00123EA6">
            <w:pPr>
              <w:ind w:firstLineChars="0"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45</w:t>
            </w:r>
          </w:p>
        </w:tc>
        <w:tc>
          <w:tcPr>
            <w:tcW w:w="2322" w:type="dxa"/>
          </w:tcPr>
          <w:p w:rsidR="00442582" w:rsidRDefault="00442582" w:rsidP="00123EA6">
            <w:pPr>
              <w:ind w:firstLineChars="0"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  <w:r>
              <w:rPr>
                <w:rFonts w:hint="eastAsia"/>
                <w:color w:val="auto"/>
              </w:rPr>
              <w:t>月</w:t>
            </w:r>
          </w:p>
        </w:tc>
      </w:tr>
      <w:tr w:rsidR="00442582" w:rsidTr="00442582">
        <w:tc>
          <w:tcPr>
            <w:tcW w:w="2321" w:type="dxa"/>
          </w:tcPr>
          <w:p w:rsidR="00442582" w:rsidRDefault="00442582" w:rsidP="00123EA6">
            <w:pPr>
              <w:ind w:firstLineChars="0"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中海油惠州项目</w:t>
            </w:r>
          </w:p>
        </w:tc>
        <w:tc>
          <w:tcPr>
            <w:tcW w:w="2322" w:type="dxa"/>
          </w:tcPr>
          <w:p w:rsidR="00442582" w:rsidRDefault="00442582" w:rsidP="00123EA6">
            <w:pPr>
              <w:ind w:firstLineChars="0"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LLDPE</w:t>
            </w:r>
          </w:p>
        </w:tc>
        <w:tc>
          <w:tcPr>
            <w:tcW w:w="2322" w:type="dxa"/>
          </w:tcPr>
          <w:p w:rsidR="00442582" w:rsidRDefault="00442582" w:rsidP="00123EA6">
            <w:pPr>
              <w:ind w:firstLineChars="0"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30</w:t>
            </w:r>
          </w:p>
        </w:tc>
        <w:tc>
          <w:tcPr>
            <w:tcW w:w="2322" w:type="dxa"/>
          </w:tcPr>
          <w:p w:rsidR="00442582" w:rsidRDefault="00442582" w:rsidP="00123EA6">
            <w:pPr>
              <w:ind w:firstLineChars="0"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11</w:t>
            </w:r>
            <w:r>
              <w:rPr>
                <w:rFonts w:hint="eastAsia"/>
                <w:color w:val="auto"/>
              </w:rPr>
              <w:t>月</w:t>
            </w:r>
          </w:p>
        </w:tc>
      </w:tr>
      <w:tr w:rsidR="00442582" w:rsidTr="00442582">
        <w:tc>
          <w:tcPr>
            <w:tcW w:w="2321" w:type="dxa"/>
          </w:tcPr>
          <w:p w:rsidR="00442582" w:rsidRDefault="00442582" w:rsidP="00123EA6">
            <w:pPr>
              <w:ind w:firstLineChars="0"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中海油惠州项目</w:t>
            </w:r>
          </w:p>
        </w:tc>
        <w:tc>
          <w:tcPr>
            <w:tcW w:w="2322" w:type="dxa"/>
          </w:tcPr>
          <w:p w:rsidR="00442582" w:rsidRDefault="00442582" w:rsidP="00123EA6">
            <w:pPr>
              <w:ind w:firstLineChars="0"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HDPE</w:t>
            </w:r>
          </w:p>
        </w:tc>
        <w:tc>
          <w:tcPr>
            <w:tcW w:w="2322" w:type="dxa"/>
          </w:tcPr>
          <w:p w:rsidR="00442582" w:rsidRDefault="00442582" w:rsidP="00123EA6">
            <w:pPr>
              <w:ind w:firstLineChars="0"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40</w:t>
            </w:r>
          </w:p>
        </w:tc>
        <w:tc>
          <w:tcPr>
            <w:tcW w:w="2322" w:type="dxa"/>
          </w:tcPr>
          <w:p w:rsidR="00442582" w:rsidRDefault="00442582" w:rsidP="00123EA6">
            <w:pPr>
              <w:ind w:firstLineChars="0" w:firstLine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11</w:t>
            </w:r>
            <w:r>
              <w:rPr>
                <w:rFonts w:hint="eastAsia"/>
                <w:color w:val="auto"/>
              </w:rPr>
              <w:t>月</w:t>
            </w:r>
          </w:p>
        </w:tc>
      </w:tr>
    </w:tbl>
    <w:p w:rsidR="00442582" w:rsidRPr="00442582" w:rsidRDefault="00442582" w:rsidP="00123EA6">
      <w:pPr>
        <w:ind w:firstLine="440"/>
        <w:rPr>
          <w:rFonts w:hint="eastAsia"/>
          <w:color w:val="auto"/>
        </w:rPr>
      </w:pPr>
      <w:r w:rsidRPr="00442582">
        <w:rPr>
          <w:rFonts w:hint="eastAsia"/>
          <w:color w:val="auto"/>
        </w:rPr>
        <w:t>上半年江苏斯尔邦和中天合创能源化工投产后，神华宁煤和中海油惠州项目将投产</w:t>
      </w:r>
      <w:r w:rsidR="005A1921">
        <w:rPr>
          <w:rFonts w:hint="eastAsia"/>
          <w:color w:val="auto"/>
        </w:rPr>
        <w:t>。</w:t>
      </w:r>
      <w:r w:rsidR="005A1921" w:rsidRPr="00442582">
        <w:rPr>
          <w:rFonts w:hint="eastAsia"/>
          <w:color w:val="auto"/>
        </w:rPr>
        <w:t>神华宁煤</w:t>
      </w:r>
      <w:r w:rsidR="005A1921" w:rsidRPr="00442582">
        <w:rPr>
          <w:rFonts w:hint="eastAsia"/>
          <w:color w:val="auto"/>
        </w:rPr>
        <w:t>45</w:t>
      </w:r>
      <w:r w:rsidR="005A1921" w:rsidRPr="00442582">
        <w:rPr>
          <w:rFonts w:hint="eastAsia"/>
          <w:color w:val="auto"/>
        </w:rPr>
        <w:t>万吨</w:t>
      </w:r>
      <w:r w:rsidR="005A1921" w:rsidRPr="00442582">
        <w:rPr>
          <w:rFonts w:hint="eastAsia"/>
          <w:color w:val="auto"/>
        </w:rPr>
        <w:t>/</w:t>
      </w:r>
      <w:r w:rsidR="005A1921" w:rsidRPr="00442582">
        <w:rPr>
          <w:rFonts w:hint="eastAsia"/>
          <w:color w:val="auto"/>
        </w:rPr>
        <w:t>年全密度装置全线打通后，</w:t>
      </w:r>
      <w:proofErr w:type="gramStart"/>
      <w:r w:rsidR="005A1921" w:rsidRPr="00442582">
        <w:rPr>
          <w:rFonts w:hint="eastAsia"/>
          <w:color w:val="auto"/>
        </w:rPr>
        <w:t>后续仍</w:t>
      </w:r>
      <w:proofErr w:type="gramEnd"/>
      <w:r w:rsidR="005A1921" w:rsidRPr="00442582">
        <w:rPr>
          <w:rFonts w:hint="eastAsia"/>
          <w:color w:val="auto"/>
        </w:rPr>
        <w:t>有停车计划，或将于</w:t>
      </w:r>
      <w:r w:rsidR="005A1921" w:rsidRPr="00442582">
        <w:rPr>
          <w:rFonts w:hint="eastAsia"/>
          <w:color w:val="auto"/>
        </w:rPr>
        <w:t>10</w:t>
      </w:r>
      <w:r w:rsidR="005A1921" w:rsidRPr="00442582">
        <w:rPr>
          <w:rFonts w:hint="eastAsia"/>
          <w:color w:val="auto"/>
        </w:rPr>
        <w:t>月份正式投入生产。</w:t>
      </w:r>
      <w:r w:rsidRPr="00442582">
        <w:rPr>
          <w:rFonts w:hint="eastAsia"/>
          <w:color w:val="auto"/>
        </w:rPr>
        <w:t>供应压力最大时期可能集中于</w:t>
      </w:r>
      <w:r w:rsidRPr="00442582">
        <w:rPr>
          <w:rFonts w:hint="eastAsia"/>
          <w:color w:val="auto"/>
        </w:rPr>
        <w:t>2017</w:t>
      </w:r>
      <w:r w:rsidRPr="00442582">
        <w:rPr>
          <w:rFonts w:hint="eastAsia"/>
          <w:color w:val="auto"/>
        </w:rPr>
        <w:t>年</w:t>
      </w:r>
      <w:r w:rsidR="005A1921">
        <w:rPr>
          <w:rFonts w:hint="eastAsia"/>
          <w:color w:val="auto"/>
        </w:rPr>
        <w:t>四季度</w:t>
      </w:r>
      <w:r w:rsidRPr="00442582">
        <w:rPr>
          <w:rFonts w:hint="eastAsia"/>
          <w:color w:val="auto"/>
        </w:rPr>
        <w:t>。</w:t>
      </w:r>
    </w:p>
    <w:p w:rsidR="001D4384" w:rsidRPr="005D1686" w:rsidRDefault="00AD1F84" w:rsidP="00D57594">
      <w:pPr>
        <w:pStyle w:val="1"/>
        <w:spacing w:before="326"/>
      </w:pPr>
      <w:r w:rsidRPr="005D1686">
        <w:rPr>
          <w:rFonts w:hint="eastAsia"/>
        </w:rPr>
        <w:lastRenderedPageBreak/>
        <w:t>3.</w:t>
      </w:r>
      <w:r w:rsidR="001D4384" w:rsidRPr="005D1686">
        <w:rPr>
          <w:rFonts w:hint="eastAsia"/>
        </w:rPr>
        <w:t>总结</w:t>
      </w:r>
    </w:p>
    <w:p w:rsidR="004F1D44" w:rsidRPr="000B2373" w:rsidRDefault="00F84038" w:rsidP="000B2373">
      <w:pPr>
        <w:ind w:firstLine="440"/>
        <w:rPr>
          <w:szCs w:val="22"/>
        </w:rPr>
      </w:pPr>
      <w:r>
        <w:rPr>
          <w:rFonts w:hint="eastAsia"/>
          <w:szCs w:val="22"/>
        </w:rPr>
        <w:t>“禁废令”的出台使得塑料期货价格涨停，不过利好可能相对有限，价格也出现了回落调整</w:t>
      </w:r>
      <w:r w:rsidR="001D4384" w:rsidRPr="002C0E1F">
        <w:rPr>
          <w:rFonts w:hint="eastAsia"/>
          <w:color w:val="auto"/>
        </w:rPr>
        <w:t>。</w:t>
      </w:r>
      <w:r>
        <w:rPr>
          <w:rFonts w:hint="eastAsia"/>
          <w:color w:val="auto"/>
        </w:rPr>
        <w:t>后期来看，供应压力较大，一方面是前期集中检修结束，另一方面是新产能或面临投放，当然新产能投放也可能出现推迟。从下游需求来看，</w:t>
      </w:r>
      <w:r>
        <w:rPr>
          <w:rFonts w:hint="eastAsia"/>
          <w:color w:val="auto"/>
        </w:rPr>
        <w:t>7</w:t>
      </w:r>
      <w:r>
        <w:rPr>
          <w:rFonts w:hint="eastAsia"/>
          <w:color w:val="auto"/>
        </w:rPr>
        <w:t>月份是淡季，</w:t>
      </w:r>
      <w:r>
        <w:rPr>
          <w:rFonts w:hint="eastAsia"/>
          <w:color w:val="auto"/>
        </w:rPr>
        <w:t>8</w:t>
      </w:r>
      <w:r>
        <w:rPr>
          <w:rFonts w:hint="eastAsia"/>
          <w:color w:val="auto"/>
        </w:rPr>
        <w:t>月份会开始好转，但是今年环保督查严格，终端开工降低，需求可能减少</w:t>
      </w:r>
      <w:r w:rsidR="000873A9">
        <w:rPr>
          <w:rFonts w:hint="eastAsia"/>
          <w:color w:val="auto"/>
        </w:rPr>
        <w:t>。总体来看，后市可能不如往年乐观，短期区间内波动为主，仅供参考。</w:t>
      </w:r>
    </w:p>
    <w:sectPr w:rsidR="004F1D44" w:rsidRPr="000B2373" w:rsidSect="00E07AC0">
      <w:headerReference w:type="default" r:id="rId22"/>
      <w:pgSz w:w="11907" w:h="16839" w:code="9"/>
      <w:pgMar w:top="1616" w:right="1418" w:bottom="1616" w:left="1418" w:header="851" w:footer="992" w:gutter="0"/>
      <w:cols w:space="425"/>
      <w:docGrid w:type="lines" w:linePitch="326" w:charSpace="1302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8DC" w:rsidRDefault="009C38DC" w:rsidP="003C0547">
      <w:pPr>
        <w:ind w:firstLine="440"/>
      </w:pPr>
      <w:r>
        <w:separator/>
      </w:r>
    </w:p>
  </w:endnote>
  <w:endnote w:type="continuationSeparator" w:id="0">
    <w:p w:rsidR="009C38DC" w:rsidRDefault="009C38DC" w:rsidP="003C0547">
      <w:pPr>
        <w:ind w:firstLine="4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A9F" w:rsidRDefault="004A6A9F" w:rsidP="003C0547">
    <w:pPr>
      <w:pStyle w:val="a5"/>
      <w:ind w:firstLine="360"/>
    </w:pPr>
  </w:p>
  <w:p w:rsidR="004A6A9F" w:rsidRDefault="004A6A9F" w:rsidP="003C0547">
    <w:pPr>
      <w:ind w:firstLine="4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17" w:rsidRDefault="005935B8" w:rsidP="00C55017">
    <w:pPr>
      <w:pStyle w:val="a5"/>
      <w:ind w:firstLine="360"/>
      <w:jc w:val="right"/>
    </w:pPr>
    <w:fldSimple w:instr=" PAGE   \* MERGEFORMAT ">
      <w:r w:rsidR="000873A9" w:rsidRPr="000873A9">
        <w:rPr>
          <w:noProof/>
          <w:lang w:val="zh-CN"/>
        </w:rPr>
        <w:t>1</w:t>
      </w:r>
    </w:fldSimple>
  </w:p>
  <w:p w:rsidR="004A6A9F" w:rsidRDefault="004A6A9F" w:rsidP="004A6A9F">
    <w:pPr>
      <w:pStyle w:val="a5"/>
      <w:ind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A9F" w:rsidRDefault="004A6A9F" w:rsidP="003C0547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8DC" w:rsidRDefault="009C38DC" w:rsidP="003C0547">
      <w:pPr>
        <w:ind w:firstLine="440"/>
      </w:pPr>
      <w:r>
        <w:separator/>
      </w:r>
    </w:p>
  </w:footnote>
  <w:footnote w:type="continuationSeparator" w:id="0">
    <w:p w:rsidR="009C38DC" w:rsidRDefault="009C38DC" w:rsidP="003C0547">
      <w:pPr>
        <w:ind w:firstLine="4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A9F" w:rsidRDefault="004A6A9F" w:rsidP="003C0547">
    <w:pPr>
      <w:pStyle w:val="a4"/>
      <w:ind w:firstLine="360"/>
    </w:pPr>
  </w:p>
  <w:p w:rsidR="004A6A9F" w:rsidRDefault="004A6A9F" w:rsidP="003C0547">
    <w:pPr>
      <w:ind w:firstLine="4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A9F" w:rsidRDefault="000B2373" w:rsidP="005D5C55">
    <w:pPr>
      <w:ind w:leftChars="-1675" w:left="-3685" w:firstLineChars="0" w:firstLine="0"/>
      <w:jc w:val="left"/>
    </w:pPr>
    <w:r>
      <w:rPr>
        <w:noProof/>
      </w:rPr>
      <w:drawing>
        <wp:inline distT="0" distB="0" distL="0" distR="0">
          <wp:extent cx="3597275" cy="551815"/>
          <wp:effectExtent l="19050" t="0" r="3175" b="0"/>
          <wp:docPr id="5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7275" cy="551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A9F" w:rsidRDefault="004A6A9F" w:rsidP="003C0547">
    <w:pPr>
      <w:pStyle w:val="a4"/>
      <w:ind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2FD" w:rsidRPr="002F391C" w:rsidRDefault="002F391C" w:rsidP="002F391C">
    <w:pPr>
      <w:pStyle w:val="a4"/>
      <w:ind w:firstLineChars="0" w:firstLine="0"/>
      <w:jc w:val="both"/>
      <w:rPr>
        <w:rFonts w:ascii="隶书" w:eastAsia="隶书"/>
        <w:sz w:val="24"/>
      </w:rPr>
    </w:pPr>
    <w:r>
      <w:rPr>
        <w:rFonts w:ascii="隶书" w:eastAsia="隶书" w:hint="eastAsia"/>
        <w:sz w:val="28"/>
      </w:rPr>
      <w:t xml:space="preserve">理财月报                                 </w:t>
    </w:r>
    <w:r w:rsidR="000B2373">
      <w:rPr>
        <w:rFonts w:ascii="隶书" w:eastAsia="隶书"/>
        <w:noProof/>
        <w:sz w:val="24"/>
      </w:rPr>
      <w:drawing>
        <wp:inline distT="0" distB="0" distL="0" distR="0">
          <wp:extent cx="2096135" cy="250190"/>
          <wp:effectExtent l="19050" t="0" r="0" b="0"/>
          <wp:docPr id="3" name="图片 4" descr="logo集合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logo集合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43915" b="44180"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250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1D56D9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07946A6A"/>
    <w:multiLevelType w:val="hybridMultilevel"/>
    <w:tmpl w:val="5D04BD00"/>
    <w:lvl w:ilvl="0" w:tplc="716EF1B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1" w:hanging="420"/>
      </w:pPr>
    </w:lvl>
    <w:lvl w:ilvl="2" w:tplc="0409001B" w:tentative="1">
      <w:start w:val="1"/>
      <w:numFmt w:val="lowerRoman"/>
      <w:lvlText w:val="%3."/>
      <w:lvlJc w:val="righ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9" w:tentative="1">
      <w:start w:val="1"/>
      <w:numFmt w:val="lowerLetter"/>
      <w:lvlText w:val="%5)"/>
      <w:lvlJc w:val="left"/>
      <w:pPr>
        <w:ind w:left="2821" w:hanging="420"/>
      </w:pPr>
    </w:lvl>
    <w:lvl w:ilvl="5" w:tplc="0409001B" w:tentative="1">
      <w:start w:val="1"/>
      <w:numFmt w:val="lowerRoman"/>
      <w:lvlText w:val="%6."/>
      <w:lvlJc w:val="righ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9" w:tentative="1">
      <w:start w:val="1"/>
      <w:numFmt w:val="lowerLetter"/>
      <w:lvlText w:val="%8)"/>
      <w:lvlJc w:val="left"/>
      <w:pPr>
        <w:ind w:left="4081" w:hanging="420"/>
      </w:pPr>
    </w:lvl>
    <w:lvl w:ilvl="8" w:tplc="0409001B" w:tentative="1">
      <w:start w:val="1"/>
      <w:numFmt w:val="lowerRoman"/>
      <w:lvlText w:val="%9."/>
      <w:lvlJc w:val="right"/>
      <w:pPr>
        <w:ind w:left="4501" w:hanging="420"/>
      </w:pPr>
    </w:lvl>
  </w:abstractNum>
  <w:abstractNum w:abstractNumId="3">
    <w:nsid w:val="082C220A"/>
    <w:multiLevelType w:val="hybridMultilevel"/>
    <w:tmpl w:val="0166F7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1C911F6"/>
    <w:multiLevelType w:val="multilevel"/>
    <w:tmpl w:val="A9D84EC4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4"/>
      <w:numFmt w:val="decimal"/>
      <w:lvlText w:val="%1.%2"/>
      <w:lvlJc w:val="left"/>
      <w:pPr>
        <w:ind w:left="993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>
    <w:nsid w:val="1A501681"/>
    <w:multiLevelType w:val="hybridMultilevel"/>
    <w:tmpl w:val="80FA78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F5D584A"/>
    <w:multiLevelType w:val="hybridMultilevel"/>
    <w:tmpl w:val="E6D8816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21F977FD"/>
    <w:multiLevelType w:val="hybridMultilevel"/>
    <w:tmpl w:val="00E0FE84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>
    <w:nsid w:val="2CF03EB0"/>
    <w:multiLevelType w:val="hybridMultilevel"/>
    <w:tmpl w:val="46BAA3FE"/>
    <w:lvl w:ilvl="0" w:tplc="04090011">
      <w:start w:val="1"/>
      <w:numFmt w:val="decimal"/>
      <w:lvlText w:val="%1)"/>
      <w:lvlJc w:val="left"/>
      <w:pPr>
        <w:ind w:left="860" w:hanging="4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9">
    <w:nsid w:val="305C06A1"/>
    <w:multiLevelType w:val="hybridMultilevel"/>
    <w:tmpl w:val="CD3E70FA"/>
    <w:lvl w:ilvl="0" w:tplc="93BC14D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0">
    <w:nsid w:val="34823011"/>
    <w:multiLevelType w:val="multilevel"/>
    <w:tmpl w:val="3B78CB44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3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>
    <w:nsid w:val="37057DC7"/>
    <w:multiLevelType w:val="multilevel"/>
    <w:tmpl w:val="809A1F5A"/>
    <w:lvl w:ilvl="0">
      <w:start w:val="3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993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>
    <w:nsid w:val="3A4360D1"/>
    <w:multiLevelType w:val="multilevel"/>
    <w:tmpl w:val="EEDC285A"/>
    <w:lvl w:ilvl="0">
      <w:start w:val="3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3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>
    <w:nsid w:val="45B91342"/>
    <w:multiLevelType w:val="hybridMultilevel"/>
    <w:tmpl w:val="D340C53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CAC35F8"/>
    <w:multiLevelType w:val="multilevel"/>
    <w:tmpl w:val="0BAAB492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>
    <w:nsid w:val="50627A50"/>
    <w:multiLevelType w:val="hybridMultilevel"/>
    <w:tmpl w:val="7BAE61DA"/>
    <w:lvl w:ilvl="0" w:tplc="60FC3BDA">
      <w:start w:val="1"/>
      <w:numFmt w:val="decimal"/>
      <w:lvlText w:val="%1．"/>
      <w:lvlJc w:val="left"/>
      <w:pPr>
        <w:ind w:left="1276" w:hanging="5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1" w:hanging="420"/>
      </w:pPr>
    </w:lvl>
    <w:lvl w:ilvl="2" w:tplc="0409001B" w:tentative="1">
      <w:start w:val="1"/>
      <w:numFmt w:val="lowerRoman"/>
      <w:lvlText w:val="%3."/>
      <w:lvlJc w:val="righ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9" w:tentative="1">
      <w:start w:val="1"/>
      <w:numFmt w:val="lowerLetter"/>
      <w:lvlText w:val="%5)"/>
      <w:lvlJc w:val="left"/>
      <w:pPr>
        <w:ind w:left="2821" w:hanging="420"/>
      </w:pPr>
    </w:lvl>
    <w:lvl w:ilvl="5" w:tplc="0409001B" w:tentative="1">
      <w:start w:val="1"/>
      <w:numFmt w:val="lowerRoman"/>
      <w:lvlText w:val="%6."/>
      <w:lvlJc w:val="righ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9" w:tentative="1">
      <w:start w:val="1"/>
      <w:numFmt w:val="lowerLetter"/>
      <w:lvlText w:val="%8)"/>
      <w:lvlJc w:val="left"/>
      <w:pPr>
        <w:ind w:left="4081" w:hanging="420"/>
      </w:pPr>
    </w:lvl>
    <w:lvl w:ilvl="8" w:tplc="0409001B" w:tentative="1">
      <w:start w:val="1"/>
      <w:numFmt w:val="lowerRoman"/>
      <w:lvlText w:val="%9."/>
      <w:lvlJc w:val="right"/>
      <w:pPr>
        <w:ind w:left="4501" w:hanging="420"/>
      </w:pPr>
    </w:lvl>
  </w:abstractNum>
  <w:abstractNum w:abstractNumId="16">
    <w:nsid w:val="58B67662"/>
    <w:multiLevelType w:val="multilevel"/>
    <w:tmpl w:val="E24E7E26"/>
    <w:lvl w:ilvl="0">
      <w:start w:val="3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993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>
    <w:nsid w:val="673C41AB"/>
    <w:multiLevelType w:val="hybridMultilevel"/>
    <w:tmpl w:val="99DE6A08"/>
    <w:lvl w:ilvl="0" w:tplc="7C7E8FE6">
      <w:start w:val="1"/>
      <w:numFmt w:val="bullet"/>
      <w:pStyle w:val="a"/>
      <w:lvlText w:val=""/>
      <w:lvlJc w:val="left"/>
      <w:pPr>
        <w:tabs>
          <w:tab w:val="num" w:pos="1838"/>
        </w:tabs>
        <w:ind w:left="183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98"/>
        </w:tabs>
        <w:ind w:left="5198" w:hanging="420"/>
      </w:pPr>
      <w:rPr>
        <w:rFonts w:ascii="Wingdings" w:hAnsi="Wingdings" w:hint="default"/>
      </w:rPr>
    </w:lvl>
  </w:abstractNum>
  <w:abstractNum w:abstractNumId="18">
    <w:nsid w:val="7BF77E11"/>
    <w:multiLevelType w:val="hybridMultilevel"/>
    <w:tmpl w:val="643EF8FA"/>
    <w:lvl w:ilvl="0" w:tplc="CD1C3826">
      <w:start w:val="1"/>
      <w:numFmt w:val="bullet"/>
      <w:pStyle w:val="2"/>
      <w:lvlText w:val=""/>
      <w:lvlJc w:val="left"/>
      <w:pPr>
        <w:ind w:left="2547" w:hanging="420"/>
      </w:pPr>
      <w:rPr>
        <w:rFonts w:ascii="Wingdings" w:hAnsi="Wingdings" w:hint="default"/>
      </w:rPr>
    </w:lvl>
    <w:lvl w:ilvl="1" w:tplc="54DE5AAE" w:tentative="1">
      <w:start w:val="1"/>
      <w:numFmt w:val="bullet"/>
      <w:lvlText w:val=""/>
      <w:lvlJc w:val="left"/>
      <w:pPr>
        <w:ind w:left="2967" w:hanging="420"/>
      </w:pPr>
      <w:rPr>
        <w:rFonts w:ascii="Wingdings" w:hAnsi="Wingdings" w:hint="default"/>
      </w:rPr>
    </w:lvl>
    <w:lvl w:ilvl="2" w:tplc="4424A0B2" w:tentative="1">
      <w:start w:val="1"/>
      <w:numFmt w:val="bullet"/>
      <w:lvlText w:val=""/>
      <w:lvlJc w:val="left"/>
      <w:pPr>
        <w:ind w:left="3387" w:hanging="420"/>
      </w:pPr>
      <w:rPr>
        <w:rFonts w:ascii="Wingdings" w:hAnsi="Wingdings" w:hint="default"/>
      </w:rPr>
    </w:lvl>
    <w:lvl w:ilvl="3" w:tplc="5360DDD8" w:tentative="1">
      <w:start w:val="1"/>
      <w:numFmt w:val="bullet"/>
      <w:lvlText w:val=""/>
      <w:lvlJc w:val="left"/>
      <w:pPr>
        <w:ind w:left="3807" w:hanging="420"/>
      </w:pPr>
      <w:rPr>
        <w:rFonts w:ascii="Wingdings" w:hAnsi="Wingdings" w:hint="default"/>
      </w:rPr>
    </w:lvl>
    <w:lvl w:ilvl="4" w:tplc="2068B8EA" w:tentative="1">
      <w:start w:val="1"/>
      <w:numFmt w:val="bullet"/>
      <w:lvlText w:val=""/>
      <w:lvlJc w:val="left"/>
      <w:pPr>
        <w:ind w:left="4227" w:hanging="420"/>
      </w:pPr>
      <w:rPr>
        <w:rFonts w:ascii="Wingdings" w:hAnsi="Wingdings" w:hint="default"/>
      </w:rPr>
    </w:lvl>
    <w:lvl w:ilvl="5" w:tplc="9170E390" w:tentative="1">
      <w:start w:val="1"/>
      <w:numFmt w:val="bullet"/>
      <w:lvlText w:val=""/>
      <w:lvlJc w:val="left"/>
      <w:pPr>
        <w:ind w:left="4647" w:hanging="420"/>
      </w:pPr>
      <w:rPr>
        <w:rFonts w:ascii="Wingdings" w:hAnsi="Wingdings" w:hint="default"/>
      </w:rPr>
    </w:lvl>
    <w:lvl w:ilvl="6" w:tplc="C9044266" w:tentative="1">
      <w:start w:val="1"/>
      <w:numFmt w:val="bullet"/>
      <w:lvlText w:val=""/>
      <w:lvlJc w:val="left"/>
      <w:pPr>
        <w:ind w:left="5067" w:hanging="420"/>
      </w:pPr>
      <w:rPr>
        <w:rFonts w:ascii="Wingdings" w:hAnsi="Wingdings" w:hint="default"/>
      </w:rPr>
    </w:lvl>
    <w:lvl w:ilvl="7" w:tplc="99140F74" w:tentative="1">
      <w:start w:val="1"/>
      <w:numFmt w:val="bullet"/>
      <w:lvlText w:val=""/>
      <w:lvlJc w:val="left"/>
      <w:pPr>
        <w:ind w:left="5487" w:hanging="420"/>
      </w:pPr>
      <w:rPr>
        <w:rFonts w:ascii="Wingdings" w:hAnsi="Wingdings" w:hint="default"/>
      </w:rPr>
    </w:lvl>
    <w:lvl w:ilvl="8" w:tplc="461281D2" w:tentative="1">
      <w:start w:val="1"/>
      <w:numFmt w:val="bullet"/>
      <w:lvlText w:val=""/>
      <w:lvlJc w:val="left"/>
      <w:pPr>
        <w:ind w:left="5907" w:hanging="420"/>
      </w:pPr>
      <w:rPr>
        <w:rFonts w:ascii="Wingdings" w:hAnsi="Wingdings" w:hint="default"/>
      </w:rPr>
    </w:lvl>
  </w:abstractNum>
  <w:abstractNum w:abstractNumId="19">
    <w:nsid w:val="7D8B0F07"/>
    <w:multiLevelType w:val="multilevel"/>
    <w:tmpl w:val="7C567E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>
    <w:nsid w:val="7FB17AA3"/>
    <w:multiLevelType w:val="multilevel"/>
    <w:tmpl w:val="7C52B8DE"/>
    <w:lvl w:ilvl="0">
      <w:start w:val="1"/>
      <w:numFmt w:val="decimal"/>
      <w:lvlText w:val="%1."/>
      <w:lvlJc w:val="left"/>
      <w:pPr>
        <w:ind w:left="1156" w:hanging="4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76" w:hanging="55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1" w:hanging="1440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6"/>
  </w:num>
  <w:num w:numId="4">
    <w:abstractNumId w:val="15"/>
  </w:num>
  <w:num w:numId="5">
    <w:abstractNumId w:val="8"/>
  </w:num>
  <w:num w:numId="6">
    <w:abstractNumId w:val="0"/>
  </w:num>
  <w:num w:numId="7">
    <w:abstractNumId w:val="5"/>
  </w:num>
  <w:num w:numId="8">
    <w:abstractNumId w:val="18"/>
  </w:num>
  <w:num w:numId="9">
    <w:abstractNumId w:val="1"/>
  </w:num>
  <w:num w:numId="10">
    <w:abstractNumId w:val="14"/>
  </w:num>
  <w:num w:numId="11">
    <w:abstractNumId w:val="13"/>
  </w:num>
  <w:num w:numId="12">
    <w:abstractNumId w:val="9"/>
  </w:num>
  <w:num w:numId="13">
    <w:abstractNumId w:val="2"/>
  </w:num>
  <w:num w:numId="14">
    <w:abstractNumId w:val="19"/>
  </w:num>
  <w:num w:numId="15">
    <w:abstractNumId w:val="16"/>
  </w:num>
  <w:num w:numId="16">
    <w:abstractNumId w:val="4"/>
  </w:num>
  <w:num w:numId="17">
    <w:abstractNumId w:val="11"/>
  </w:num>
  <w:num w:numId="18">
    <w:abstractNumId w:val="12"/>
  </w:num>
  <w:num w:numId="19">
    <w:abstractNumId w:val="10"/>
  </w:num>
  <w:num w:numId="20">
    <w:abstractNumId w:val="7"/>
  </w:num>
  <w:num w:numId="21">
    <w:abstractNumId w:val="3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defaultTabStop w:val="420"/>
  <w:drawingGridHorizontalSpacing w:val="428"/>
  <w:drawingGridVerticalSpacing w:val="163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547"/>
    <w:rsid w:val="0000308C"/>
    <w:rsid w:val="000038BA"/>
    <w:rsid w:val="00003E7A"/>
    <w:rsid w:val="0001106C"/>
    <w:rsid w:val="00013179"/>
    <w:rsid w:val="0001323D"/>
    <w:rsid w:val="0002161F"/>
    <w:rsid w:val="0002333C"/>
    <w:rsid w:val="00024AF2"/>
    <w:rsid w:val="0002657D"/>
    <w:rsid w:val="0002771F"/>
    <w:rsid w:val="00036FB1"/>
    <w:rsid w:val="00037036"/>
    <w:rsid w:val="00037701"/>
    <w:rsid w:val="00041A1F"/>
    <w:rsid w:val="00046FD9"/>
    <w:rsid w:val="000514C0"/>
    <w:rsid w:val="000516A9"/>
    <w:rsid w:val="00054A9B"/>
    <w:rsid w:val="0005647B"/>
    <w:rsid w:val="0006224A"/>
    <w:rsid w:val="0006445E"/>
    <w:rsid w:val="00070543"/>
    <w:rsid w:val="00072FDB"/>
    <w:rsid w:val="0007439A"/>
    <w:rsid w:val="00075AB8"/>
    <w:rsid w:val="00085B95"/>
    <w:rsid w:val="000873A9"/>
    <w:rsid w:val="000936C0"/>
    <w:rsid w:val="0009535B"/>
    <w:rsid w:val="00097994"/>
    <w:rsid w:val="00097A3E"/>
    <w:rsid w:val="00097F21"/>
    <w:rsid w:val="000A5DD6"/>
    <w:rsid w:val="000B2373"/>
    <w:rsid w:val="000B4E4B"/>
    <w:rsid w:val="000B6834"/>
    <w:rsid w:val="000C12E4"/>
    <w:rsid w:val="000D0333"/>
    <w:rsid w:val="000D7030"/>
    <w:rsid w:val="000E08DE"/>
    <w:rsid w:val="000E398D"/>
    <w:rsid w:val="000E4F30"/>
    <w:rsid w:val="000E5347"/>
    <w:rsid w:val="000F12B1"/>
    <w:rsid w:val="000F5953"/>
    <w:rsid w:val="001066E2"/>
    <w:rsid w:val="001068AB"/>
    <w:rsid w:val="0011421B"/>
    <w:rsid w:val="001209CF"/>
    <w:rsid w:val="00122845"/>
    <w:rsid w:val="00123EA6"/>
    <w:rsid w:val="00130977"/>
    <w:rsid w:val="00130B0D"/>
    <w:rsid w:val="00137217"/>
    <w:rsid w:val="00142AC9"/>
    <w:rsid w:val="00143178"/>
    <w:rsid w:val="0014585B"/>
    <w:rsid w:val="00146E02"/>
    <w:rsid w:val="00151AF7"/>
    <w:rsid w:val="00152B01"/>
    <w:rsid w:val="00157FEE"/>
    <w:rsid w:val="001663E7"/>
    <w:rsid w:val="00174995"/>
    <w:rsid w:val="0019349B"/>
    <w:rsid w:val="00193DC5"/>
    <w:rsid w:val="001954CF"/>
    <w:rsid w:val="001966D6"/>
    <w:rsid w:val="001A4AAF"/>
    <w:rsid w:val="001B4046"/>
    <w:rsid w:val="001C3D5B"/>
    <w:rsid w:val="001C5F14"/>
    <w:rsid w:val="001D13B4"/>
    <w:rsid w:val="001D4384"/>
    <w:rsid w:val="001D573C"/>
    <w:rsid w:val="001D69CE"/>
    <w:rsid w:val="001E03C8"/>
    <w:rsid w:val="00200A78"/>
    <w:rsid w:val="0021080F"/>
    <w:rsid w:val="00220DCB"/>
    <w:rsid w:val="0022164A"/>
    <w:rsid w:val="002233D5"/>
    <w:rsid w:val="00223571"/>
    <w:rsid w:val="002241C6"/>
    <w:rsid w:val="002310CE"/>
    <w:rsid w:val="002341E9"/>
    <w:rsid w:val="00237F7A"/>
    <w:rsid w:val="00252FFF"/>
    <w:rsid w:val="002533F1"/>
    <w:rsid w:val="00254D9E"/>
    <w:rsid w:val="002611F4"/>
    <w:rsid w:val="00273519"/>
    <w:rsid w:val="002741DC"/>
    <w:rsid w:val="002825AC"/>
    <w:rsid w:val="00283FAA"/>
    <w:rsid w:val="00284212"/>
    <w:rsid w:val="00286D88"/>
    <w:rsid w:val="00291E9F"/>
    <w:rsid w:val="00292482"/>
    <w:rsid w:val="00293124"/>
    <w:rsid w:val="00295689"/>
    <w:rsid w:val="002A5CD4"/>
    <w:rsid w:val="002B42B5"/>
    <w:rsid w:val="002B6542"/>
    <w:rsid w:val="002B768C"/>
    <w:rsid w:val="002C02CB"/>
    <w:rsid w:val="002C6AFE"/>
    <w:rsid w:val="002D1AB1"/>
    <w:rsid w:val="002D2AE9"/>
    <w:rsid w:val="002D7E79"/>
    <w:rsid w:val="002E3E99"/>
    <w:rsid w:val="002E68E2"/>
    <w:rsid w:val="002E70C0"/>
    <w:rsid w:val="002E718F"/>
    <w:rsid w:val="002F081C"/>
    <w:rsid w:val="002F1FAC"/>
    <w:rsid w:val="002F391C"/>
    <w:rsid w:val="002F5EAC"/>
    <w:rsid w:val="00302AC4"/>
    <w:rsid w:val="003030F1"/>
    <w:rsid w:val="00313E9C"/>
    <w:rsid w:val="00314750"/>
    <w:rsid w:val="003155DB"/>
    <w:rsid w:val="00317042"/>
    <w:rsid w:val="003221DD"/>
    <w:rsid w:val="00326836"/>
    <w:rsid w:val="00332ECF"/>
    <w:rsid w:val="00333DEA"/>
    <w:rsid w:val="00334AB2"/>
    <w:rsid w:val="00336A33"/>
    <w:rsid w:val="003409E2"/>
    <w:rsid w:val="00350F70"/>
    <w:rsid w:val="0035152D"/>
    <w:rsid w:val="003521BD"/>
    <w:rsid w:val="0035401E"/>
    <w:rsid w:val="00363BBB"/>
    <w:rsid w:val="00375DE2"/>
    <w:rsid w:val="00377399"/>
    <w:rsid w:val="0037747E"/>
    <w:rsid w:val="00380D38"/>
    <w:rsid w:val="003922D8"/>
    <w:rsid w:val="00394CA0"/>
    <w:rsid w:val="0039573E"/>
    <w:rsid w:val="00396061"/>
    <w:rsid w:val="00397377"/>
    <w:rsid w:val="003A0F23"/>
    <w:rsid w:val="003A116D"/>
    <w:rsid w:val="003A24A5"/>
    <w:rsid w:val="003A4B0A"/>
    <w:rsid w:val="003A59DA"/>
    <w:rsid w:val="003A6E09"/>
    <w:rsid w:val="003B11DC"/>
    <w:rsid w:val="003B3AFB"/>
    <w:rsid w:val="003B54EA"/>
    <w:rsid w:val="003C0547"/>
    <w:rsid w:val="003C6DE3"/>
    <w:rsid w:val="003C78A3"/>
    <w:rsid w:val="003D3111"/>
    <w:rsid w:val="003D3B43"/>
    <w:rsid w:val="003D3E11"/>
    <w:rsid w:val="003D5995"/>
    <w:rsid w:val="003E68C7"/>
    <w:rsid w:val="003E7248"/>
    <w:rsid w:val="003F7863"/>
    <w:rsid w:val="003F7F13"/>
    <w:rsid w:val="004005F5"/>
    <w:rsid w:val="004016B1"/>
    <w:rsid w:val="00403492"/>
    <w:rsid w:val="004042CA"/>
    <w:rsid w:val="00406E3B"/>
    <w:rsid w:val="0040783E"/>
    <w:rsid w:val="0041333E"/>
    <w:rsid w:val="00414628"/>
    <w:rsid w:val="004178BC"/>
    <w:rsid w:val="00417A53"/>
    <w:rsid w:val="00422BE4"/>
    <w:rsid w:val="00425C8B"/>
    <w:rsid w:val="00431DAB"/>
    <w:rsid w:val="00436FB9"/>
    <w:rsid w:val="004371F4"/>
    <w:rsid w:val="00441449"/>
    <w:rsid w:val="00441D5B"/>
    <w:rsid w:val="00442582"/>
    <w:rsid w:val="00443B9C"/>
    <w:rsid w:val="00446AB9"/>
    <w:rsid w:val="00447F94"/>
    <w:rsid w:val="0045459D"/>
    <w:rsid w:val="00454D9A"/>
    <w:rsid w:val="00461B5C"/>
    <w:rsid w:val="00463B16"/>
    <w:rsid w:val="00470D35"/>
    <w:rsid w:val="00473F5F"/>
    <w:rsid w:val="00476A09"/>
    <w:rsid w:val="00482BCB"/>
    <w:rsid w:val="00484ABD"/>
    <w:rsid w:val="004A0B9C"/>
    <w:rsid w:val="004A6A9F"/>
    <w:rsid w:val="004A6F7D"/>
    <w:rsid w:val="004A7C62"/>
    <w:rsid w:val="004B1B7B"/>
    <w:rsid w:val="004B21B3"/>
    <w:rsid w:val="004B34C7"/>
    <w:rsid w:val="004C065A"/>
    <w:rsid w:val="004C17B2"/>
    <w:rsid w:val="004C3A23"/>
    <w:rsid w:val="004C4DF1"/>
    <w:rsid w:val="004D24B2"/>
    <w:rsid w:val="004E22DB"/>
    <w:rsid w:val="004E561F"/>
    <w:rsid w:val="004F0B6E"/>
    <w:rsid w:val="004F1D44"/>
    <w:rsid w:val="004F4852"/>
    <w:rsid w:val="004F50D7"/>
    <w:rsid w:val="004F6A2C"/>
    <w:rsid w:val="004F7854"/>
    <w:rsid w:val="00502F96"/>
    <w:rsid w:val="00504259"/>
    <w:rsid w:val="0050703B"/>
    <w:rsid w:val="00513C0C"/>
    <w:rsid w:val="00515D1D"/>
    <w:rsid w:val="00527FF4"/>
    <w:rsid w:val="00540D7A"/>
    <w:rsid w:val="0054451A"/>
    <w:rsid w:val="00550AFB"/>
    <w:rsid w:val="00556E25"/>
    <w:rsid w:val="00556E48"/>
    <w:rsid w:val="00557A22"/>
    <w:rsid w:val="00560D65"/>
    <w:rsid w:val="00562B70"/>
    <w:rsid w:val="0056345B"/>
    <w:rsid w:val="00564C77"/>
    <w:rsid w:val="0056761F"/>
    <w:rsid w:val="00567CE9"/>
    <w:rsid w:val="00571C5A"/>
    <w:rsid w:val="0057416A"/>
    <w:rsid w:val="00576BDB"/>
    <w:rsid w:val="00581121"/>
    <w:rsid w:val="00584403"/>
    <w:rsid w:val="00584BA1"/>
    <w:rsid w:val="00587838"/>
    <w:rsid w:val="00587D77"/>
    <w:rsid w:val="005922B1"/>
    <w:rsid w:val="005935B8"/>
    <w:rsid w:val="00593FE9"/>
    <w:rsid w:val="005A1921"/>
    <w:rsid w:val="005A402C"/>
    <w:rsid w:val="005A452E"/>
    <w:rsid w:val="005B2C17"/>
    <w:rsid w:val="005C0725"/>
    <w:rsid w:val="005D1686"/>
    <w:rsid w:val="005D2E83"/>
    <w:rsid w:val="005D40E1"/>
    <w:rsid w:val="005D5C55"/>
    <w:rsid w:val="005E1612"/>
    <w:rsid w:val="005E26DE"/>
    <w:rsid w:val="005E5B2E"/>
    <w:rsid w:val="005E7BEA"/>
    <w:rsid w:val="005F69FA"/>
    <w:rsid w:val="005F6A24"/>
    <w:rsid w:val="005F7B70"/>
    <w:rsid w:val="006023CB"/>
    <w:rsid w:val="00606C97"/>
    <w:rsid w:val="0061292A"/>
    <w:rsid w:val="00616B25"/>
    <w:rsid w:val="00620B3C"/>
    <w:rsid w:val="006214B1"/>
    <w:rsid w:val="00623212"/>
    <w:rsid w:val="006305FE"/>
    <w:rsid w:val="00632089"/>
    <w:rsid w:val="006323C9"/>
    <w:rsid w:val="00632C89"/>
    <w:rsid w:val="00633A00"/>
    <w:rsid w:val="00636D32"/>
    <w:rsid w:val="006377EE"/>
    <w:rsid w:val="00640C27"/>
    <w:rsid w:val="00640E22"/>
    <w:rsid w:val="00640E25"/>
    <w:rsid w:val="00640FFB"/>
    <w:rsid w:val="00642746"/>
    <w:rsid w:val="00644703"/>
    <w:rsid w:val="00646517"/>
    <w:rsid w:val="00651E8A"/>
    <w:rsid w:val="00653440"/>
    <w:rsid w:val="0065566A"/>
    <w:rsid w:val="00657141"/>
    <w:rsid w:val="006613F4"/>
    <w:rsid w:val="00661903"/>
    <w:rsid w:val="006675A7"/>
    <w:rsid w:val="00671294"/>
    <w:rsid w:val="00671626"/>
    <w:rsid w:val="00671A37"/>
    <w:rsid w:val="006723B0"/>
    <w:rsid w:val="00673066"/>
    <w:rsid w:val="006737B5"/>
    <w:rsid w:val="00681F35"/>
    <w:rsid w:val="0068394F"/>
    <w:rsid w:val="00686E56"/>
    <w:rsid w:val="006913B7"/>
    <w:rsid w:val="0069198C"/>
    <w:rsid w:val="006928DE"/>
    <w:rsid w:val="0069390F"/>
    <w:rsid w:val="006A234D"/>
    <w:rsid w:val="006A395E"/>
    <w:rsid w:val="006B1A15"/>
    <w:rsid w:val="006B3756"/>
    <w:rsid w:val="006B4E75"/>
    <w:rsid w:val="006B7755"/>
    <w:rsid w:val="006C4CFA"/>
    <w:rsid w:val="006D294E"/>
    <w:rsid w:val="006F025C"/>
    <w:rsid w:val="006F10A8"/>
    <w:rsid w:val="007011D6"/>
    <w:rsid w:val="00701E89"/>
    <w:rsid w:val="00702CA6"/>
    <w:rsid w:val="00711987"/>
    <w:rsid w:val="00714291"/>
    <w:rsid w:val="00714692"/>
    <w:rsid w:val="00714787"/>
    <w:rsid w:val="00723609"/>
    <w:rsid w:val="007246E2"/>
    <w:rsid w:val="00726B03"/>
    <w:rsid w:val="00732B0D"/>
    <w:rsid w:val="00733446"/>
    <w:rsid w:val="0074100F"/>
    <w:rsid w:val="007437E3"/>
    <w:rsid w:val="00744DD8"/>
    <w:rsid w:val="00752CAE"/>
    <w:rsid w:val="00763F19"/>
    <w:rsid w:val="00776781"/>
    <w:rsid w:val="00790F13"/>
    <w:rsid w:val="0079566E"/>
    <w:rsid w:val="0079568C"/>
    <w:rsid w:val="007A5D6D"/>
    <w:rsid w:val="007A7F0E"/>
    <w:rsid w:val="007B2847"/>
    <w:rsid w:val="007B3503"/>
    <w:rsid w:val="007B497D"/>
    <w:rsid w:val="007C33FF"/>
    <w:rsid w:val="007C4E13"/>
    <w:rsid w:val="007D04E0"/>
    <w:rsid w:val="007D1947"/>
    <w:rsid w:val="007D4542"/>
    <w:rsid w:val="007E327F"/>
    <w:rsid w:val="007E5BD6"/>
    <w:rsid w:val="007E6198"/>
    <w:rsid w:val="007F15DB"/>
    <w:rsid w:val="007F3519"/>
    <w:rsid w:val="007F40C5"/>
    <w:rsid w:val="007F72B5"/>
    <w:rsid w:val="0080193C"/>
    <w:rsid w:val="00804BAF"/>
    <w:rsid w:val="008055FE"/>
    <w:rsid w:val="008104C7"/>
    <w:rsid w:val="00813EB8"/>
    <w:rsid w:val="00817C17"/>
    <w:rsid w:val="00820188"/>
    <w:rsid w:val="00820829"/>
    <w:rsid w:val="008234BE"/>
    <w:rsid w:val="00824F1F"/>
    <w:rsid w:val="0083153D"/>
    <w:rsid w:val="008460F0"/>
    <w:rsid w:val="00847DA7"/>
    <w:rsid w:val="0085089E"/>
    <w:rsid w:val="00850D28"/>
    <w:rsid w:val="008531BF"/>
    <w:rsid w:val="00854678"/>
    <w:rsid w:val="00855F56"/>
    <w:rsid w:val="008602DD"/>
    <w:rsid w:val="008703BF"/>
    <w:rsid w:val="00870EC8"/>
    <w:rsid w:val="00873E8F"/>
    <w:rsid w:val="00874E02"/>
    <w:rsid w:val="00880F12"/>
    <w:rsid w:val="00881546"/>
    <w:rsid w:val="00881D84"/>
    <w:rsid w:val="008824B5"/>
    <w:rsid w:val="008839B9"/>
    <w:rsid w:val="00884FD3"/>
    <w:rsid w:val="008953BA"/>
    <w:rsid w:val="008955D9"/>
    <w:rsid w:val="008B16D2"/>
    <w:rsid w:val="008B1FD0"/>
    <w:rsid w:val="008B2FA9"/>
    <w:rsid w:val="008B7E47"/>
    <w:rsid w:val="008C0C32"/>
    <w:rsid w:val="008C4C15"/>
    <w:rsid w:val="008D06A2"/>
    <w:rsid w:val="008D3915"/>
    <w:rsid w:val="008F287C"/>
    <w:rsid w:val="0090259F"/>
    <w:rsid w:val="00905FF0"/>
    <w:rsid w:val="00906FCF"/>
    <w:rsid w:val="00907A61"/>
    <w:rsid w:val="00911265"/>
    <w:rsid w:val="00911E47"/>
    <w:rsid w:val="009136EA"/>
    <w:rsid w:val="00913FB5"/>
    <w:rsid w:val="00916883"/>
    <w:rsid w:val="009216EA"/>
    <w:rsid w:val="0092194E"/>
    <w:rsid w:val="00922523"/>
    <w:rsid w:val="00923FCD"/>
    <w:rsid w:val="00924274"/>
    <w:rsid w:val="00924E1C"/>
    <w:rsid w:val="00930E54"/>
    <w:rsid w:val="00933586"/>
    <w:rsid w:val="00936159"/>
    <w:rsid w:val="009377FA"/>
    <w:rsid w:val="009418D2"/>
    <w:rsid w:val="00942826"/>
    <w:rsid w:val="00945C9D"/>
    <w:rsid w:val="00947FB8"/>
    <w:rsid w:val="00951456"/>
    <w:rsid w:val="00953159"/>
    <w:rsid w:val="00953ACA"/>
    <w:rsid w:val="00954B58"/>
    <w:rsid w:val="00954CAA"/>
    <w:rsid w:val="009550B1"/>
    <w:rsid w:val="00955CBA"/>
    <w:rsid w:val="00957B9E"/>
    <w:rsid w:val="00962C82"/>
    <w:rsid w:val="00967F3C"/>
    <w:rsid w:val="00971474"/>
    <w:rsid w:val="009742BD"/>
    <w:rsid w:val="00974FED"/>
    <w:rsid w:val="009830C7"/>
    <w:rsid w:val="00985F86"/>
    <w:rsid w:val="0099657B"/>
    <w:rsid w:val="009A275B"/>
    <w:rsid w:val="009A566A"/>
    <w:rsid w:val="009A62FF"/>
    <w:rsid w:val="009A65AC"/>
    <w:rsid w:val="009B1B7E"/>
    <w:rsid w:val="009B2D4D"/>
    <w:rsid w:val="009B3294"/>
    <w:rsid w:val="009C38DC"/>
    <w:rsid w:val="009C6F1A"/>
    <w:rsid w:val="009C7492"/>
    <w:rsid w:val="009D26A9"/>
    <w:rsid w:val="009D2FAE"/>
    <w:rsid w:val="009D48A5"/>
    <w:rsid w:val="009E01E7"/>
    <w:rsid w:val="009E1939"/>
    <w:rsid w:val="009E4F73"/>
    <w:rsid w:val="009F24BD"/>
    <w:rsid w:val="009F3F76"/>
    <w:rsid w:val="00A01073"/>
    <w:rsid w:val="00A012F9"/>
    <w:rsid w:val="00A053A8"/>
    <w:rsid w:val="00A054CF"/>
    <w:rsid w:val="00A242D6"/>
    <w:rsid w:val="00A24373"/>
    <w:rsid w:val="00A27D12"/>
    <w:rsid w:val="00A27EAD"/>
    <w:rsid w:val="00A33043"/>
    <w:rsid w:val="00A43CD0"/>
    <w:rsid w:val="00A44ECA"/>
    <w:rsid w:val="00A522FD"/>
    <w:rsid w:val="00A549CB"/>
    <w:rsid w:val="00A556A6"/>
    <w:rsid w:val="00A604BF"/>
    <w:rsid w:val="00A62445"/>
    <w:rsid w:val="00A624B7"/>
    <w:rsid w:val="00A71815"/>
    <w:rsid w:val="00A7310D"/>
    <w:rsid w:val="00A73C77"/>
    <w:rsid w:val="00A74E19"/>
    <w:rsid w:val="00A80B23"/>
    <w:rsid w:val="00A80C5F"/>
    <w:rsid w:val="00A81949"/>
    <w:rsid w:val="00A8644B"/>
    <w:rsid w:val="00A92952"/>
    <w:rsid w:val="00AA01C4"/>
    <w:rsid w:val="00AA48AE"/>
    <w:rsid w:val="00AA5F8E"/>
    <w:rsid w:val="00AB1C8E"/>
    <w:rsid w:val="00AB22E7"/>
    <w:rsid w:val="00AB3224"/>
    <w:rsid w:val="00AB46B4"/>
    <w:rsid w:val="00AB59E6"/>
    <w:rsid w:val="00AB5A02"/>
    <w:rsid w:val="00AB5CAC"/>
    <w:rsid w:val="00AB7EEB"/>
    <w:rsid w:val="00AC1B26"/>
    <w:rsid w:val="00AC568C"/>
    <w:rsid w:val="00AC67C6"/>
    <w:rsid w:val="00AC7615"/>
    <w:rsid w:val="00AD1F84"/>
    <w:rsid w:val="00AD5C70"/>
    <w:rsid w:val="00AE7DB0"/>
    <w:rsid w:val="00AF666A"/>
    <w:rsid w:val="00B00EBC"/>
    <w:rsid w:val="00B03291"/>
    <w:rsid w:val="00B03537"/>
    <w:rsid w:val="00B04C1F"/>
    <w:rsid w:val="00B0666A"/>
    <w:rsid w:val="00B0685E"/>
    <w:rsid w:val="00B1122C"/>
    <w:rsid w:val="00B2422D"/>
    <w:rsid w:val="00B24E02"/>
    <w:rsid w:val="00B253FC"/>
    <w:rsid w:val="00B335E0"/>
    <w:rsid w:val="00B33D00"/>
    <w:rsid w:val="00B34D18"/>
    <w:rsid w:val="00B353C8"/>
    <w:rsid w:val="00B366AC"/>
    <w:rsid w:val="00B37175"/>
    <w:rsid w:val="00B37303"/>
    <w:rsid w:val="00B4212D"/>
    <w:rsid w:val="00B43E1D"/>
    <w:rsid w:val="00B4401D"/>
    <w:rsid w:val="00B546D2"/>
    <w:rsid w:val="00B60256"/>
    <w:rsid w:val="00B64DAB"/>
    <w:rsid w:val="00B65E5D"/>
    <w:rsid w:val="00B72D2D"/>
    <w:rsid w:val="00B80414"/>
    <w:rsid w:val="00B80F7B"/>
    <w:rsid w:val="00B815FB"/>
    <w:rsid w:val="00B82276"/>
    <w:rsid w:val="00B827E1"/>
    <w:rsid w:val="00BA1119"/>
    <w:rsid w:val="00BA39C1"/>
    <w:rsid w:val="00BA6154"/>
    <w:rsid w:val="00BB0692"/>
    <w:rsid w:val="00BB240C"/>
    <w:rsid w:val="00BC30F3"/>
    <w:rsid w:val="00BC3721"/>
    <w:rsid w:val="00BC3979"/>
    <w:rsid w:val="00BC4C0E"/>
    <w:rsid w:val="00BC7672"/>
    <w:rsid w:val="00BD4D38"/>
    <w:rsid w:val="00BD630C"/>
    <w:rsid w:val="00BD70EF"/>
    <w:rsid w:val="00BE19EA"/>
    <w:rsid w:val="00BE1AA1"/>
    <w:rsid w:val="00BE1CF7"/>
    <w:rsid w:val="00BE626F"/>
    <w:rsid w:val="00BE671D"/>
    <w:rsid w:val="00BF1DD3"/>
    <w:rsid w:val="00BF4FEB"/>
    <w:rsid w:val="00BF7E3F"/>
    <w:rsid w:val="00C0279F"/>
    <w:rsid w:val="00C03B32"/>
    <w:rsid w:val="00C04C00"/>
    <w:rsid w:val="00C06B64"/>
    <w:rsid w:val="00C11875"/>
    <w:rsid w:val="00C11E10"/>
    <w:rsid w:val="00C120C7"/>
    <w:rsid w:val="00C14506"/>
    <w:rsid w:val="00C1739E"/>
    <w:rsid w:val="00C17C9A"/>
    <w:rsid w:val="00C216EF"/>
    <w:rsid w:val="00C2185D"/>
    <w:rsid w:val="00C2344D"/>
    <w:rsid w:val="00C31C4B"/>
    <w:rsid w:val="00C32032"/>
    <w:rsid w:val="00C40C92"/>
    <w:rsid w:val="00C43A58"/>
    <w:rsid w:val="00C51E47"/>
    <w:rsid w:val="00C5392D"/>
    <w:rsid w:val="00C55017"/>
    <w:rsid w:val="00C56EF1"/>
    <w:rsid w:val="00C60ACA"/>
    <w:rsid w:val="00C66F6F"/>
    <w:rsid w:val="00C71C2A"/>
    <w:rsid w:val="00C72E71"/>
    <w:rsid w:val="00C73A4B"/>
    <w:rsid w:val="00C80ED1"/>
    <w:rsid w:val="00C87728"/>
    <w:rsid w:val="00C91065"/>
    <w:rsid w:val="00C92767"/>
    <w:rsid w:val="00C92779"/>
    <w:rsid w:val="00CB24B6"/>
    <w:rsid w:val="00CB270D"/>
    <w:rsid w:val="00CB6AD5"/>
    <w:rsid w:val="00CC2B11"/>
    <w:rsid w:val="00CC4E4D"/>
    <w:rsid w:val="00CD5128"/>
    <w:rsid w:val="00CE14E6"/>
    <w:rsid w:val="00CE6606"/>
    <w:rsid w:val="00CE6CF0"/>
    <w:rsid w:val="00CF1815"/>
    <w:rsid w:val="00CF7E95"/>
    <w:rsid w:val="00D011AB"/>
    <w:rsid w:val="00D06626"/>
    <w:rsid w:val="00D0696E"/>
    <w:rsid w:val="00D077F1"/>
    <w:rsid w:val="00D13226"/>
    <w:rsid w:val="00D1380C"/>
    <w:rsid w:val="00D13FE6"/>
    <w:rsid w:val="00D1606A"/>
    <w:rsid w:val="00D175EB"/>
    <w:rsid w:val="00D2079B"/>
    <w:rsid w:val="00D208BA"/>
    <w:rsid w:val="00D2231F"/>
    <w:rsid w:val="00D2619A"/>
    <w:rsid w:val="00D3179B"/>
    <w:rsid w:val="00D37BA7"/>
    <w:rsid w:val="00D42186"/>
    <w:rsid w:val="00D4285C"/>
    <w:rsid w:val="00D47FD3"/>
    <w:rsid w:val="00D509E3"/>
    <w:rsid w:val="00D51936"/>
    <w:rsid w:val="00D57594"/>
    <w:rsid w:val="00D61954"/>
    <w:rsid w:val="00D679A9"/>
    <w:rsid w:val="00D70F0E"/>
    <w:rsid w:val="00D70FA3"/>
    <w:rsid w:val="00D754AE"/>
    <w:rsid w:val="00D75F66"/>
    <w:rsid w:val="00D80FB8"/>
    <w:rsid w:val="00D837B0"/>
    <w:rsid w:val="00D85A8A"/>
    <w:rsid w:val="00D9185A"/>
    <w:rsid w:val="00D927C5"/>
    <w:rsid w:val="00DA3788"/>
    <w:rsid w:val="00DA7947"/>
    <w:rsid w:val="00DC02DE"/>
    <w:rsid w:val="00DC3900"/>
    <w:rsid w:val="00DC7FD1"/>
    <w:rsid w:val="00DD2BA8"/>
    <w:rsid w:val="00DD3DE0"/>
    <w:rsid w:val="00DD5E33"/>
    <w:rsid w:val="00DE2426"/>
    <w:rsid w:val="00DE33EB"/>
    <w:rsid w:val="00DE37B9"/>
    <w:rsid w:val="00DE5D24"/>
    <w:rsid w:val="00DE5E5E"/>
    <w:rsid w:val="00DF2330"/>
    <w:rsid w:val="00E014CF"/>
    <w:rsid w:val="00E01C5B"/>
    <w:rsid w:val="00E03604"/>
    <w:rsid w:val="00E07400"/>
    <w:rsid w:val="00E07AC0"/>
    <w:rsid w:val="00E14DEB"/>
    <w:rsid w:val="00E15386"/>
    <w:rsid w:val="00E15D6A"/>
    <w:rsid w:val="00E17C32"/>
    <w:rsid w:val="00E22A23"/>
    <w:rsid w:val="00E232F4"/>
    <w:rsid w:val="00E23D65"/>
    <w:rsid w:val="00E257BE"/>
    <w:rsid w:val="00E30633"/>
    <w:rsid w:val="00E30C9A"/>
    <w:rsid w:val="00E35A06"/>
    <w:rsid w:val="00E36319"/>
    <w:rsid w:val="00E41E60"/>
    <w:rsid w:val="00E52E11"/>
    <w:rsid w:val="00E53C0E"/>
    <w:rsid w:val="00E5536C"/>
    <w:rsid w:val="00E57D0F"/>
    <w:rsid w:val="00E63C85"/>
    <w:rsid w:val="00E63E01"/>
    <w:rsid w:val="00E71684"/>
    <w:rsid w:val="00E71A4B"/>
    <w:rsid w:val="00E8398E"/>
    <w:rsid w:val="00E84FDA"/>
    <w:rsid w:val="00E85D57"/>
    <w:rsid w:val="00E920B8"/>
    <w:rsid w:val="00E95B2C"/>
    <w:rsid w:val="00EA0733"/>
    <w:rsid w:val="00EA0ACC"/>
    <w:rsid w:val="00EA6898"/>
    <w:rsid w:val="00EC24DB"/>
    <w:rsid w:val="00EC2535"/>
    <w:rsid w:val="00EC5F02"/>
    <w:rsid w:val="00ED1D85"/>
    <w:rsid w:val="00ED7DAE"/>
    <w:rsid w:val="00EE0E72"/>
    <w:rsid w:val="00EE4595"/>
    <w:rsid w:val="00EF4257"/>
    <w:rsid w:val="00F018BF"/>
    <w:rsid w:val="00F03DE6"/>
    <w:rsid w:val="00F07D62"/>
    <w:rsid w:val="00F14CAA"/>
    <w:rsid w:val="00F24490"/>
    <w:rsid w:val="00F27AF3"/>
    <w:rsid w:val="00F31B68"/>
    <w:rsid w:val="00F32A37"/>
    <w:rsid w:val="00F34E2B"/>
    <w:rsid w:val="00F350B0"/>
    <w:rsid w:val="00F351AB"/>
    <w:rsid w:val="00F35B32"/>
    <w:rsid w:val="00F37149"/>
    <w:rsid w:val="00F44233"/>
    <w:rsid w:val="00F44572"/>
    <w:rsid w:val="00F51743"/>
    <w:rsid w:val="00F52406"/>
    <w:rsid w:val="00F6014F"/>
    <w:rsid w:val="00F60446"/>
    <w:rsid w:val="00F61DA6"/>
    <w:rsid w:val="00F63500"/>
    <w:rsid w:val="00F71C44"/>
    <w:rsid w:val="00F74161"/>
    <w:rsid w:val="00F831A3"/>
    <w:rsid w:val="00F84038"/>
    <w:rsid w:val="00F8476F"/>
    <w:rsid w:val="00FA0412"/>
    <w:rsid w:val="00FA29B6"/>
    <w:rsid w:val="00FA3AAE"/>
    <w:rsid w:val="00FB1FC6"/>
    <w:rsid w:val="00FB5AA2"/>
    <w:rsid w:val="00FD0AE6"/>
    <w:rsid w:val="00FD2292"/>
    <w:rsid w:val="00FD4C31"/>
    <w:rsid w:val="00FD681D"/>
    <w:rsid w:val="00FD6E26"/>
    <w:rsid w:val="00FD78DB"/>
    <w:rsid w:val="00FE660D"/>
    <w:rsid w:val="00FF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0547"/>
    <w:pPr>
      <w:widowControl w:val="0"/>
      <w:ind w:firstLineChars="200" w:firstLine="200"/>
      <w:jc w:val="both"/>
    </w:pPr>
    <w:rPr>
      <w:rFonts w:ascii="Times New Roman" w:eastAsia="华文细黑" w:hAnsi="Times New Roman"/>
      <w:color w:val="333333"/>
      <w:kern w:val="2"/>
      <w:sz w:val="22"/>
      <w:szCs w:val="24"/>
    </w:rPr>
  </w:style>
  <w:style w:type="paragraph" w:styleId="1">
    <w:name w:val="heading 1"/>
    <w:basedOn w:val="a0"/>
    <w:next w:val="a0"/>
    <w:link w:val="1Char"/>
    <w:qFormat/>
    <w:rsid w:val="004016B1"/>
    <w:pPr>
      <w:spacing w:beforeLines="100"/>
      <w:ind w:firstLine="721"/>
      <w:outlineLvl w:val="0"/>
    </w:pPr>
    <w:rPr>
      <w:b/>
      <w:color w:val="010281"/>
      <w:sz w:val="36"/>
      <w:szCs w:val="36"/>
      <w:shd w:val="pct15" w:color="auto" w:fill="FFFFFF"/>
    </w:rPr>
  </w:style>
  <w:style w:type="paragraph" w:styleId="20">
    <w:name w:val="heading 2"/>
    <w:basedOn w:val="a0"/>
    <w:next w:val="a0"/>
    <w:link w:val="2Char"/>
    <w:uiPriority w:val="9"/>
    <w:unhideWhenUsed/>
    <w:qFormat/>
    <w:rsid w:val="00AB5A02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kern w:val="0"/>
      <w:sz w:val="32"/>
      <w:szCs w:val="32"/>
    </w:rPr>
  </w:style>
  <w:style w:type="paragraph" w:styleId="3">
    <w:name w:val="heading 3"/>
    <w:basedOn w:val="a0"/>
    <w:next w:val="a0"/>
    <w:link w:val="3Char"/>
    <w:uiPriority w:val="9"/>
    <w:semiHidden/>
    <w:unhideWhenUsed/>
    <w:qFormat/>
    <w:rsid w:val="00CE6CF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rsid w:val="004016B1"/>
    <w:rPr>
      <w:rFonts w:ascii="Times New Roman" w:eastAsia="华文细黑" w:hAnsi="Times New Roman"/>
      <w:b/>
      <w:color w:val="010281"/>
      <w:kern w:val="2"/>
      <w:sz w:val="36"/>
      <w:szCs w:val="36"/>
    </w:rPr>
  </w:style>
  <w:style w:type="character" w:customStyle="1" w:styleId="2Char">
    <w:name w:val="标题 2 Char"/>
    <w:link w:val="20"/>
    <w:uiPriority w:val="9"/>
    <w:rsid w:val="00AB5A02"/>
    <w:rPr>
      <w:rFonts w:ascii="Cambria" w:eastAsia="宋体" w:hAnsi="Cambria" w:cs="Times New Roman"/>
      <w:b/>
      <w:bCs/>
      <w:color w:val="333333"/>
      <w:sz w:val="32"/>
      <w:szCs w:val="32"/>
    </w:rPr>
  </w:style>
  <w:style w:type="paragraph" w:styleId="a4">
    <w:name w:val="header"/>
    <w:basedOn w:val="a0"/>
    <w:link w:val="Char"/>
    <w:rsid w:val="003C0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rsid w:val="003C0547"/>
    <w:rPr>
      <w:rFonts w:ascii="Times New Roman" w:eastAsia="华文细黑" w:hAnsi="Times New Roman" w:cs="Times New Roman"/>
      <w:color w:val="333333"/>
      <w:sz w:val="18"/>
      <w:szCs w:val="18"/>
    </w:rPr>
  </w:style>
  <w:style w:type="paragraph" w:styleId="a5">
    <w:name w:val="footer"/>
    <w:basedOn w:val="a0"/>
    <w:link w:val="Char0"/>
    <w:uiPriority w:val="99"/>
    <w:rsid w:val="003C054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5"/>
    <w:uiPriority w:val="99"/>
    <w:rsid w:val="003C0547"/>
    <w:rPr>
      <w:rFonts w:ascii="Times New Roman" w:eastAsia="华文细黑" w:hAnsi="Times New Roman" w:cs="Times New Roman"/>
      <w:color w:val="333333"/>
      <w:sz w:val="18"/>
      <w:szCs w:val="18"/>
    </w:rPr>
  </w:style>
  <w:style w:type="character" w:styleId="a6">
    <w:name w:val="Hyperlink"/>
    <w:uiPriority w:val="99"/>
    <w:rsid w:val="003C0547"/>
    <w:rPr>
      <w:color w:val="0000FF"/>
      <w:u w:val="single"/>
    </w:rPr>
  </w:style>
  <w:style w:type="table" w:styleId="a7">
    <w:name w:val="Table Grid"/>
    <w:basedOn w:val="a2"/>
    <w:rsid w:val="003C0547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0"/>
    <w:next w:val="a0"/>
    <w:link w:val="Char1"/>
    <w:qFormat/>
    <w:rsid w:val="003C0547"/>
    <w:pPr>
      <w:jc w:val="left"/>
    </w:pPr>
    <w:rPr>
      <w:rFonts w:ascii="楷体_GB2312"/>
      <w:b/>
      <w:kern w:val="0"/>
      <w:sz w:val="44"/>
      <w:szCs w:val="44"/>
    </w:rPr>
  </w:style>
  <w:style w:type="character" w:customStyle="1" w:styleId="Char1">
    <w:name w:val="标题 Char"/>
    <w:link w:val="a8"/>
    <w:rsid w:val="003C0547"/>
    <w:rPr>
      <w:rFonts w:ascii="楷体_GB2312" w:eastAsia="华文细黑" w:hAnsi="Times New Roman" w:cs="Times New Roman"/>
      <w:b/>
      <w:color w:val="333333"/>
      <w:sz w:val="44"/>
      <w:szCs w:val="44"/>
    </w:rPr>
  </w:style>
  <w:style w:type="character" w:styleId="a9">
    <w:name w:val="Strong"/>
    <w:qFormat/>
    <w:rsid w:val="003C0547"/>
    <w:rPr>
      <w:rFonts w:ascii="楷体_GB2312"/>
      <w:b/>
      <w:color w:val="010281"/>
      <w:sz w:val="30"/>
      <w:szCs w:val="30"/>
    </w:rPr>
  </w:style>
  <w:style w:type="paragraph" w:customStyle="1" w:styleId="21">
    <w:name w:val="标题2"/>
    <w:basedOn w:val="a0"/>
    <w:link w:val="2Char0"/>
    <w:qFormat/>
    <w:rsid w:val="003C0547"/>
    <w:pPr>
      <w:spacing w:beforeLines="50"/>
      <w:ind w:firstLine="601"/>
    </w:pPr>
    <w:rPr>
      <w:b/>
      <w:color w:val="010281"/>
      <w:kern w:val="0"/>
      <w:sz w:val="30"/>
      <w:szCs w:val="30"/>
      <w:u w:val="single"/>
    </w:rPr>
  </w:style>
  <w:style w:type="character" w:customStyle="1" w:styleId="2Char0">
    <w:name w:val="标题2 Char"/>
    <w:link w:val="21"/>
    <w:rsid w:val="003C0547"/>
    <w:rPr>
      <w:rFonts w:ascii="Times New Roman" w:eastAsia="华文细黑" w:hAnsi="Times New Roman" w:cs="Times New Roman"/>
      <w:b/>
      <w:color w:val="010281"/>
      <w:sz w:val="30"/>
      <w:szCs w:val="30"/>
      <w:u w:val="single"/>
    </w:rPr>
  </w:style>
  <w:style w:type="paragraph" w:customStyle="1" w:styleId="aa">
    <w:name w:val="图表头"/>
    <w:basedOn w:val="a0"/>
    <w:link w:val="Char2"/>
    <w:qFormat/>
    <w:rsid w:val="003C0547"/>
    <w:pPr>
      <w:jc w:val="center"/>
    </w:pPr>
    <w:rPr>
      <w:b/>
      <w:kern w:val="0"/>
      <w:sz w:val="20"/>
      <w:szCs w:val="21"/>
    </w:rPr>
  </w:style>
  <w:style w:type="character" w:customStyle="1" w:styleId="Char2">
    <w:name w:val="图表头 Char"/>
    <w:link w:val="aa"/>
    <w:rsid w:val="003C0547"/>
    <w:rPr>
      <w:rFonts w:ascii="Times New Roman" w:eastAsia="华文细黑" w:hAnsi="Times New Roman" w:cs="Times New Roman"/>
      <w:b/>
      <w:color w:val="333333"/>
      <w:szCs w:val="21"/>
    </w:rPr>
  </w:style>
  <w:style w:type="paragraph" w:customStyle="1" w:styleId="ab">
    <w:name w:val="图表注"/>
    <w:basedOn w:val="a0"/>
    <w:link w:val="Char3"/>
    <w:qFormat/>
    <w:rsid w:val="003C0547"/>
    <w:pPr>
      <w:jc w:val="center"/>
    </w:pPr>
    <w:rPr>
      <w:kern w:val="0"/>
      <w:sz w:val="20"/>
      <w:szCs w:val="21"/>
    </w:rPr>
  </w:style>
  <w:style w:type="character" w:customStyle="1" w:styleId="Char3">
    <w:name w:val="图表注 Char"/>
    <w:link w:val="ab"/>
    <w:rsid w:val="003C0547"/>
    <w:rPr>
      <w:rFonts w:ascii="Times New Roman" w:eastAsia="华文细黑" w:hAnsi="Times New Roman" w:cs="Times New Roman"/>
      <w:color w:val="333333"/>
      <w:szCs w:val="21"/>
    </w:rPr>
  </w:style>
  <w:style w:type="paragraph" w:styleId="ac">
    <w:name w:val="Balloon Text"/>
    <w:basedOn w:val="a0"/>
    <w:link w:val="Char4"/>
    <w:unhideWhenUsed/>
    <w:rsid w:val="003C0547"/>
    <w:rPr>
      <w:kern w:val="0"/>
      <w:sz w:val="18"/>
      <w:szCs w:val="18"/>
    </w:rPr>
  </w:style>
  <w:style w:type="character" w:customStyle="1" w:styleId="Char4">
    <w:name w:val="批注框文本 Char"/>
    <w:link w:val="ac"/>
    <w:rsid w:val="003C0547"/>
    <w:rPr>
      <w:rFonts w:ascii="Times New Roman" w:eastAsia="华文细黑" w:hAnsi="Times New Roman" w:cs="Times New Roman"/>
      <w:color w:val="333333"/>
      <w:sz w:val="18"/>
      <w:szCs w:val="18"/>
    </w:rPr>
  </w:style>
  <w:style w:type="paragraph" w:customStyle="1" w:styleId="10">
    <w:name w:val="样式1"/>
    <w:basedOn w:val="a8"/>
    <w:link w:val="1Char0"/>
    <w:qFormat/>
    <w:rsid w:val="003C0547"/>
    <w:pPr>
      <w:tabs>
        <w:tab w:val="left" w:pos="6946"/>
      </w:tabs>
      <w:ind w:leftChars="-640" w:left="-1408" w:rightChars="-49" w:right="-108" w:firstLineChars="99" w:firstLine="436"/>
      <w:jc w:val="center"/>
    </w:pPr>
    <w:rPr>
      <w:b w:val="0"/>
    </w:rPr>
  </w:style>
  <w:style w:type="character" w:customStyle="1" w:styleId="1Char0">
    <w:name w:val="样式1 Char"/>
    <w:link w:val="10"/>
    <w:rsid w:val="003C0547"/>
    <w:rPr>
      <w:rFonts w:ascii="楷体_GB2312" w:eastAsia="华文细黑" w:hAnsi="Times New Roman" w:cs="Times New Roman"/>
      <w:b w:val="0"/>
      <w:color w:val="333333"/>
      <w:kern w:val="0"/>
      <w:sz w:val="44"/>
      <w:szCs w:val="44"/>
    </w:rPr>
  </w:style>
  <w:style w:type="character" w:styleId="ad">
    <w:name w:val="page number"/>
    <w:basedOn w:val="a1"/>
    <w:rsid w:val="003C0547"/>
  </w:style>
  <w:style w:type="character" w:styleId="ae">
    <w:name w:val="Emphasis"/>
    <w:qFormat/>
    <w:rsid w:val="003C0547"/>
    <w:rPr>
      <w:rFonts w:ascii="楷体_GB2312" w:eastAsia="华文细黑"/>
      <w:b/>
      <w:sz w:val="24"/>
    </w:rPr>
  </w:style>
  <w:style w:type="paragraph" w:customStyle="1" w:styleId="30">
    <w:name w:val="标题3"/>
    <w:basedOn w:val="a0"/>
    <w:link w:val="3Char0"/>
    <w:qFormat/>
    <w:rsid w:val="003C0547"/>
    <w:pPr>
      <w:spacing w:beforeLines="50"/>
    </w:pPr>
    <w:rPr>
      <w:b/>
      <w:color w:val="010281"/>
      <w:kern w:val="0"/>
      <w:sz w:val="28"/>
      <w:szCs w:val="28"/>
    </w:rPr>
  </w:style>
  <w:style w:type="character" w:customStyle="1" w:styleId="3Char0">
    <w:name w:val="标题3 Char"/>
    <w:link w:val="30"/>
    <w:rsid w:val="003C0547"/>
    <w:rPr>
      <w:rFonts w:ascii="Times New Roman" w:eastAsia="华文细黑" w:hAnsi="Times New Roman" w:cs="Times New Roman"/>
      <w:b/>
      <w:color w:val="010281"/>
      <w:sz w:val="28"/>
      <w:szCs w:val="28"/>
    </w:rPr>
  </w:style>
  <w:style w:type="paragraph" w:customStyle="1" w:styleId="a">
    <w:name w:val="摘要"/>
    <w:basedOn w:val="a0"/>
    <w:link w:val="Char5"/>
    <w:qFormat/>
    <w:rsid w:val="003C0547"/>
    <w:pPr>
      <w:numPr>
        <w:numId w:val="2"/>
      </w:numPr>
      <w:spacing w:beforeLines="50"/>
      <w:ind w:firstLineChars="0" w:firstLine="0"/>
      <w:jc w:val="left"/>
    </w:pPr>
    <w:rPr>
      <w:rFonts w:ascii="楷体_GB2312"/>
      <w:kern w:val="0"/>
    </w:rPr>
  </w:style>
  <w:style w:type="character" w:customStyle="1" w:styleId="Char5">
    <w:name w:val="摘要 Char"/>
    <w:link w:val="a"/>
    <w:rsid w:val="003C0547"/>
    <w:rPr>
      <w:rFonts w:ascii="楷体_GB2312" w:eastAsia="华文细黑" w:hAnsi="Times New Roman"/>
      <w:color w:val="333333"/>
      <w:sz w:val="22"/>
      <w:szCs w:val="24"/>
    </w:rPr>
  </w:style>
  <w:style w:type="paragraph" w:styleId="af">
    <w:name w:val="List Paragraph"/>
    <w:basedOn w:val="a0"/>
    <w:qFormat/>
    <w:rsid w:val="003C0547"/>
    <w:pPr>
      <w:ind w:firstLine="420"/>
    </w:pPr>
  </w:style>
  <w:style w:type="character" w:customStyle="1" w:styleId="Char6">
    <w:name w:val="批注文字 Char"/>
    <w:link w:val="af0"/>
    <w:semiHidden/>
    <w:rsid w:val="003C0547"/>
    <w:rPr>
      <w:rFonts w:ascii="Times New Roman" w:eastAsia="华文细黑" w:hAnsi="Times New Roman" w:cs="Times New Roman"/>
      <w:color w:val="333333"/>
      <w:sz w:val="22"/>
      <w:szCs w:val="24"/>
    </w:rPr>
  </w:style>
  <w:style w:type="paragraph" w:styleId="af0">
    <w:name w:val="annotation text"/>
    <w:basedOn w:val="a0"/>
    <w:link w:val="Char6"/>
    <w:semiHidden/>
    <w:unhideWhenUsed/>
    <w:rsid w:val="003C0547"/>
    <w:pPr>
      <w:jc w:val="left"/>
    </w:pPr>
    <w:rPr>
      <w:kern w:val="0"/>
    </w:rPr>
  </w:style>
  <w:style w:type="character" w:customStyle="1" w:styleId="Char7">
    <w:name w:val="批注主题 Char"/>
    <w:link w:val="af1"/>
    <w:semiHidden/>
    <w:rsid w:val="003C0547"/>
    <w:rPr>
      <w:rFonts w:ascii="Times New Roman" w:eastAsia="华文细黑" w:hAnsi="Times New Roman" w:cs="Times New Roman"/>
      <w:b/>
      <w:bCs/>
      <w:color w:val="333333"/>
      <w:sz w:val="22"/>
      <w:szCs w:val="24"/>
    </w:rPr>
  </w:style>
  <w:style w:type="paragraph" w:styleId="af1">
    <w:name w:val="annotation subject"/>
    <w:basedOn w:val="af0"/>
    <w:next w:val="af0"/>
    <w:link w:val="Char7"/>
    <w:semiHidden/>
    <w:unhideWhenUsed/>
    <w:rsid w:val="003C0547"/>
    <w:rPr>
      <w:b/>
      <w:bCs/>
    </w:rPr>
  </w:style>
  <w:style w:type="paragraph" w:styleId="af2">
    <w:name w:val="footnote text"/>
    <w:basedOn w:val="a0"/>
    <w:link w:val="Char8"/>
    <w:uiPriority w:val="99"/>
    <w:rsid w:val="003C0547"/>
    <w:pPr>
      <w:snapToGrid w:val="0"/>
      <w:jc w:val="left"/>
    </w:pPr>
    <w:rPr>
      <w:kern w:val="0"/>
      <w:sz w:val="18"/>
      <w:szCs w:val="18"/>
    </w:rPr>
  </w:style>
  <w:style w:type="character" w:customStyle="1" w:styleId="Char8">
    <w:name w:val="脚注文本 Char"/>
    <w:link w:val="af2"/>
    <w:uiPriority w:val="99"/>
    <w:rsid w:val="003C0547"/>
    <w:rPr>
      <w:rFonts w:ascii="Times New Roman" w:eastAsia="华文细黑" w:hAnsi="Times New Roman" w:cs="Times New Roman"/>
      <w:color w:val="333333"/>
      <w:sz w:val="18"/>
      <w:szCs w:val="18"/>
    </w:rPr>
  </w:style>
  <w:style w:type="character" w:styleId="af3">
    <w:name w:val="footnote reference"/>
    <w:uiPriority w:val="99"/>
    <w:rsid w:val="003C0547"/>
    <w:rPr>
      <w:vertAlign w:val="superscript"/>
    </w:rPr>
  </w:style>
  <w:style w:type="paragraph" w:styleId="11">
    <w:name w:val="toc 1"/>
    <w:basedOn w:val="a0"/>
    <w:next w:val="a0"/>
    <w:autoRedefine/>
    <w:uiPriority w:val="39"/>
    <w:unhideWhenUsed/>
    <w:qFormat/>
    <w:rsid w:val="003C0547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af4">
    <w:name w:val="Normal (Web)"/>
    <w:basedOn w:val="a0"/>
    <w:link w:val="Char9"/>
    <w:uiPriority w:val="99"/>
    <w:unhideWhenUsed/>
    <w:rsid w:val="00AB5A02"/>
    <w:pPr>
      <w:widowControl/>
      <w:spacing w:before="100" w:beforeAutospacing="1" w:after="100" w:afterAutospacing="1"/>
      <w:ind w:firstLineChars="0" w:firstLine="0"/>
      <w:jc w:val="left"/>
    </w:pPr>
    <w:rPr>
      <w:rFonts w:eastAsia="Times New Roman"/>
      <w:color w:val="auto"/>
      <w:kern w:val="0"/>
      <w:sz w:val="24"/>
      <w:lang w:val="en-AU"/>
    </w:rPr>
  </w:style>
  <w:style w:type="table" w:customStyle="1" w:styleId="-11">
    <w:name w:val="浅色底纹 - 强调文字颜色 11"/>
    <w:basedOn w:val="a2"/>
    <w:uiPriority w:val="60"/>
    <w:rsid w:val="00AB5A02"/>
    <w:rPr>
      <w:rFonts w:ascii="Times New Roman" w:hAnsi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2CharChar">
    <w:name w:val="标题2 Char Char"/>
    <w:rsid w:val="00AB5A02"/>
    <w:rPr>
      <w:rFonts w:eastAsia="华文细黑"/>
      <w:b/>
      <w:color w:val="010281"/>
      <w:kern w:val="2"/>
      <w:sz w:val="30"/>
      <w:szCs w:val="30"/>
      <w:u w:val="single"/>
    </w:rPr>
  </w:style>
  <w:style w:type="character" w:customStyle="1" w:styleId="CharChar">
    <w:name w:val="摘要 Char Char"/>
    <w:rsid w:val="00AB5A02"/>
    <w:rPr>
      <w:rFonts w:ascii="楷体_GB2312" w:eastAsia="楷体"/>
      <w:color w:val="333333"/>
      <w:kern w:val="2"/>
      <w:sz w:val="24"/>
      <w:szCs w:val="24"/>
    </w:rPr>
  </w:style>
  <w:style w:type="character" w:customStyle="1" w:styleId="CharChar0">
    <w:name w:val="图表注 Char Char"/>
    <w:rsid w:val="00AB5A02"/>
    <w:rPr>
      <w:rFonts w:eastAsia="华文细黑"/>
      <w:kern w:val="2"/>
      <w:sz w:val="21"/>
      <w:szCs w:val="21"/>
    </w:rPr>
  </w:style>
  <w:style w:type="character" w:customStyle="1" w:styleId="CharChar1">
    <w:name w:val="图表头 Char Char"/>
    <w:rsid w:val="00AB5A02"/>
    <w:rPr>
      <w:rFonts w:eastAsia="华文细黑"/>
      <w:b/>
      <w:kern w:val="2"/>
      <w:sz w:val="21"/>
      <w:szCs w:val="21"/>
    </w:rPr>
  </w:style>
  <w:style w:type="paragraph" w:customStyle="1" w:styleId="22">
    <w:name w:val="样式2"/>
    <w:basedOn w:val="a8"/>
    <w:rsid w:val="00AB5A02"/>
    <w:pPr>
      <w:tabs>
        <w:tab w:val="left" w:pos="6946"/>
      </w:tabs>
      <w:ind w:leftChars="-640" w:left="-1408" w:rightChars="-49" w:right="-108" w:firstLineChars="99" w:firstLine="436"/>
      <w:jc w:val="right"/>
    </w:pPr>
  </w:style>
  <w:style w:type="character" w:customStyle="1" w:styleId="3CharChar">
    <w:name w:val="标题3 Char Char"/>
    <w:rsid w:val="00AB5A02"/>
    <w:rPr>
      <w:rFonts w:eastAsia="华文细黑"/>
      <w:b/>
      <w:color w:val="000099"/>
      <w:kern w:val="2"/>
      <w:sz w:val="28"/>
      <w:szCs w:val="28"/>
    </w:rPr>
  </w:style>
  <w:style w:type="character" w:customStyle="1" w:styleId="Char10">
    <w:name w:val="标题 Char1"/>
    <w:uiPriority w:val="10"/>
    <w:rsid w:val="00AB5A02"/>
    <w:rPr>
      <w:rFonts w:ascii="Cambria" w:eastAsia="宋体" w:hAnsi="Cambria" w:cs="Times New Roman"/>
      <w:b/>
      <w:bCs/>
      <w:color w:val="333333"/>
      <w:sz w:val="32"/>
      <w:szCs w:val="32"/>
    </w:rPr>
  </w:style>
  <w:style w:type="character" w:customStyle="1" w:styleId="Char11">
    <w:name w:val="页脚 Char1"/>
    <w:uiPriority w:val="99"/>
    <w:semiHidden/>
    <w:rsid w:val="00AB5A02"/>
    <w:rPr>
      <w:rFonts w:ascii="Times New Roman" w:eastAsia="华文细黑" w:hAnsi="Times New Roman" w:cs="Times New Roman"/>
      <w:color w:val="333333"/>
      <w:sz w:val="18"/>
      <w:szCs w:val="18"/>
    </w:rPr>
  </w:style>
  <w:style w:type="paragraph" w:customStyle="1" w:styleId="31">
    <w:name w:val="样式3"/>
    <w:basedOn w:val="a8"/>
    <w:link w:val="3Char1"/>
    <w:qFormat/>
    <w:rsid w:val="00AB5A02"/>
    <w:pPr>
      <w:tabs>
        <w:tab w:val="left" w:pos="6946"/>
      </w:tabs>
      <w:ind w:leftChars="-640" w:left="-1408" w:rightChars="-49" w:right="-108" w:firstLineChars="99" w:firstLine="436"/>
      <w:jc w:val="right"/>
    </w:pPr>
    <w:rPr>
      <w:b w:val="0"/>
    </w:rPr>
  </w:style>
  <w:style w:type="character" w:customStyle="1" w:styleId="3Char1">
    <w:name w:val="样式3 Char"/>
    <w:link w:val="31"/>
    <w:rsid w:val="00AB5A02"/>
    <w:rPr>
      <w:rFonts w:ascii="楷体_GB2312" w:eastAsia="华文细黑" w:hAnsi="Times New Roman" w:cs="Times New Roman"/>
      <w:b w:val="0"/>
      <w:color w:val="333333"/>
      <w:sz w:val="44"/>
      <w:szCs w:val="44"/>
    </w:rPr>
  </w:style>
  <w:style w:type="paragraph" w:customStyle="1" w:styleId="2">
    <w:name w:val="要点2"/>
    <w:basedOn w:val="af"/>
    <w:link w:val="2Char1"/>
    <w:qFormat/>
    <w:rsid w:val="00AB5A02"/>
    <w:pPr>
      <w:numPr>
        <w:numId w:val="8"/>
      </w:numPr>
      <w:snapToGrid w:val="0"/>
      <w:spacing w:beforeLines="100" w:afterLines="100" w:line="312" w:lineRule="auto"/>
      <w:ind w:left="0" w:rightChars="-432" w:right="-432" w:firstLine="200"/>
      <w:jc w:val="left"/>
    </w:pPr>
    <w:rPr>
      <w:rFonts w:ascii="宋体" w:hAnsi="宋体"/>
      <w:b/>
      <w:snapToGrid w:val="0"/>
      <w:color w:val="auto"/>
      <w:kern w:val="0"/>
      <w:sz w:val="24"/>
      <w:szCs w:val="21"/>
    </w:rPr>
  </w:style>
  <w:style w:type="character" w:customStyle="1" w:styleId="2Char1">
    <w:name w:val="要点2 Char"/>
    <w:link w:val="2"/>
    <w:rsid w:val="00AB5A02"/>
    <w:rPr>
      <w:rFonts w:ascii="宋体" w:eastAsia="华文细黑" w:hAnsi="宋体"/>
      <w:b/>
      <w:snapToGrid/>
      <w:sz w:val="24"/>
      <w:szCs w:val="21"/>
    </w:rPr>
  </w:style>
  <w:style w:type="paragraph" w:styleId="TOC">
    <w:name w:val="TOC Heading"/>
    <w:basedOn w:val="1"/>
    <w:next w:val="a0"/>
    <w:uiPriority w:val="39"/>
    <w:unhideWhenUsed/>
    <w:qFormat/>
    <w:rsid w:val="00AB5A02"/>
    <w:pPr>
      <w:keepNext/>
      <w:keepLines/>
      <w:spacing w:beforeLines="0" w:after="330" w:line="578" w:lineRule="auto"/>
      <w:ind w:firstLine="200"/>
      <w:outlineLvl w:val="9"/>
    </w:pPr>
    <w:rPr>
      <w:bCs/>
      <w:color w:val="333333"/>
      <w:kern w:val="44"/>
      <w:sz w:val="44"/>
      <w:szCs w:val="44"/>
      <w:shd w:val="clear" w:color="auto" w:fill="auto"/>
    </w:rPr>
  </w:style>
  <w:style w:type="table" w:customStyle="1" w:styleId="4">
    <w:name w:val="样式4"/>
    <w:basedOn w:val="a2"/>
    <w:uiPriority w:val="99"/>
    <w:qFormat/>
    <w:rsid w:val="007246E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样式5"/>
    <w:basedOn w:val="a2"/>
    <w:uiPriority w:val="99"/>
    <w:qFormat/>
    <w:rsid w:val="007246E2"/>
    <w:tblPr>
      <w:tblInd w:w="0" w:type="dxa"/>
      <w:tblBorders>
        <w:insideH w:val="single" w:sz="4" w:space="0" w:color="0102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caption"/>
    <w:basedOn w:val="a0"/>
    <w:next w:val="a0"/>
    <w:unhideWhenUsed/>
    <w:qFormat/>
    <w:rsid w:val="00813EB8"/>
    <w:rPr>
      <w:rFonts w:ascii="Calibri Light" w:eastAsia="黑体" w:hAnsi="Calibri Light"/>
      <w:sz w:val="20"/>
      <w:szCs w:val="20"/>
    </w:rPr>
  </w:style>
  <w:style w:type="paragraph" w:customStyle="1" w:styleId="Default">
    <w:name w:val="Default"/>
    <w:rsid w:val="00947FB8"/>
    <w:pPr>
      <w:widowControl w:val="0"/>
      <w:autoSpaceDE w:val="0"/>
      <w:autoSpaceDN w:val="0"/>
      <w:adjustRightInd w:val="0"/>
    </w:pPr>
    <w:rPr>
      <w:rFonts w:ascii="华文细黑" w:hAnsi="华文细黑" w:cs="华文细黑"/>
      <w:color w:val="000000"/>
      <w:sz w:val="24"/>
      <w:szCs w:val="24"/>
    </w:rPr>
  </w:style>
  <w:style w:type="character" w:customStyle="1" w:styleId="Chara">
    <w:name w:val="日期 Char"/>
    <w:link w:val="af6"/>
    <w:uiPriority w:val="99"/>
    <w:semiHidden/>
    <w:rsid w:val="00947FB8"/>
    <w:rPr>
      <w:rFonts w:ascii="Times New Roman" w:eastAsia="华文细黑" w:hAnsi="Times New Roman"/>
      <w:color w:val="333333"/>
      <w:kern w:val="2"/>
      <w:sz w:val="22"/>
      <w:szCs w:val="24"/>
    </w:rPr>
  </w:style>
  <w:style w:type="paragraph" w:styleId="af6">
    <w:name w:val="Date"/>
    <w:basedOn w:val="a0"/>
    <w:next w:val="a0"/>
    <w:link w:val="Chara"/>
    <w:uiPriority w:val="99"/>
    <w:semiHidden/>
    <w:unhideWhenUsed/>
    <w:rsid w:val="00947FB8"/>
    <w:pPr>
      <w:ind w:leftChars="2500" w:left="100"/>
    </w:pPr>
  </w:style>
  <w:style w:type="table" w:customStyle="1" w:styleId="12">
    <w:name w:val="网格型1"/>
    <w:basedOn w:val="a2"/>
    <w:next w:val="a7"/>
    <w:rsid w:val="0022164A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rsid w:val="00C92767"/>
    <w:pPr>
      <w:widowControl w:val="0"/>
      <w:ind w:firstLineChars="200" w:firstLine="200"/>
      <w:jc w:val="both"/>
    </w:pPr>
    <w:rPr>
      <w:rFonts w:ascii="Times New Roman" w:eastAsia="华文细黑" w:hAnsi="Times New Roman"/>
      <w:color w:val="333333"/>
      <w:kern w:val="2"/>
      <w:sz w:val="22"/>
      <w:szCs w:val="24"/>
    </w:rPr>
  </w:style>
  <w:style w:type="character" w:customStyle="1" w:styleId="title">
    <w:name w:val="title"/>
    <w:rsid w:val="00C92767"/>
  </w:style>
  <w:style w:type="table" w:customStyle="1" w:styleId="-3">
    <w:name w:val="浅色列表 - 着色 3"/>
    <w:basedOn w:val="a2"/>
    <w:uiPriority w:val="61"/>
    <w:rsid w:val="00C92767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styleId="af8">
    <w:name w:val="table of figures"/>
    <w:basedOn w:val="a0"/>
    <w:next w:val="a0"/>
    <w:uiPriority w:val="99"/>
    <w:unhideWhenUsed/>
    <w:rsid w:val="00C92767"/>
    <w:pPr>
      <w:ind w:leftChars="200" w:left="200" w:hangingChars="200" w:hanging="200"/>
    </w:pPr>
  </w:style>
  <w:style w:type="character" w:customStyle="1" w:styleId="af9">
    <w:name w:val="访问过的超链接"/>
    <w:uiPriority w:val="99"/>
    <w:semiHidden/>
    <w:unhideWhenUsed/>
    <w:rsid w:val="00C92767"/>
    <w:rPr>
      <w:color w:val="954F72"/>
      <w:u w:val="single"/>
    </w:rPr>
  </w:style>
  <w:style w:type="paragraph" w:styleId="23">
    <w:name w:val="toc 2"/>
    <w:basedOn w:val="a0"/>
    <w:next w:val="a0"/>
    <w:autoRedefine/>
    <w:uiPriority w:val="39"/>
    <w:unhideWhenUsed/>
    <w:qFormat/>
    <w:rsid w:val="001E03C8"/>
    <w:pPr>
      <w:ind w:left="220"/>
      <w:jc w:val="left"/>
    </w:pPr>
    <w:rPr>
      <w:rFonts w:ascii="Calibri" w:hAnsi="Calibri" w:cs="Calibri"/>
      <w:smallCaps/>
      <w:sz w:val="20"/>
      <w:szCs w:val="20"/>
    </w:rPr>
  </w:style>
  <w:style w:type="paragraph" w:styleId="32">
    <w:name w:val="toc 3"/>
    <w:basedOn w:val="a0"/>
    <w:next w:val="a0"/>
    <w:autoRedefine/>
    <w:uiPriority w:val="39"/>
    <w:unhideWhenUsed/>
    <w:qFormat/>
    <w:rsid w:val="001E03C8"/>
    <w:pPr>
      <w:ind w:left="44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Afa">
    <w:name w:val="A大标题"/>
    <w:basedOn w:val="a0"/>
    <w:link w:val="AChar"/>
    <w:qFormat/>
    <w:rsid w:val="001E03C8"/>
    <w:pPr>
      <w:ind w:firstLine="641"/>
      <w:jc w:val="right"/>
    </w:pPr>
    <w:rPr>
      <w:b/>
      <w:color w:val="FFFFFF"/>
      <w:sz w:val="32"/>
    </w:rPr>
  </w:style>
  <w:style w:type="paragraph" w:customStyle="1" w:styleId="B">
    <w:name w:val="B小标题"/>
    <w:basedOn w:val="a8"/>
    <w:link w:val="BChar"/>
    <w:qFormat/>
    <w:rsid w:val="001E03C8"/>
    <w:pPr>
      <w:tabs>
        <w:tab w:val="left" w:pos="6946"/>
      </w:tabs>
      <w:ind w:rightChars="-49" w:right="-108" w:firstLineChars="0" w:firstLine="0"/>
      <w:jc w:val="center"/>
    </w:pPr>
    <w:rPr>
      <w:rFonts w:ascii="华文细黑" w:hAnsi="华文细黑"/>
    </w:rPr>
  </w:style>
  <w:style w:type="character" w:customStyle="1" w:styleId="AChar">
    <w:name w:val="A大标题 Char"/>
    <w:basedOn w:val="a1"/>
    <w:link w:val="Afa"/>
    <w:rsid w:val="001E03C8"/>
    <w:rPr>
      <w:rFonts w:ascii="Times New Roman" w:eastAsia="华文细黑" w:hAnsi="Times New Roman"/>
      <w:b/>
      <w:color w:val="FFFFFF"/>
      <w:kern w:val="2"/>
      <w:sz w:val="32"/>
      <w:szCs w:val="24"/>
    </w:rPr>
  </w:style>
  <w:style w:type="character" w:customStyle="1" w:styleId="3Char">
    <w:name w:val="标题 3 Char"/>
    <w:basedOn w:val="a1"/>
    <w:link w:val="3"/>
    <w:uiPriority w:val="9"/>
    <w:semiHidden/>
    <w:rsid w:val="00CE6CF0"/>
    <w:rPr>
      <w:rFonts w:ascii="Times New Roman" w:eastAsia="华文细黑" w:hAnsi="Times New Roman"/>
      <w:b/>
      <w:bCs/>
      <w:color w:val="333333"/>
      <w:kern w:val="2"/>
      <w:sz w:val="32"/>
      <w:szCs w:val="32"/>
    </w:rPr>
  </w:style>
  <w:style w:type="character" w:customStyle="1" w:styleId="BChar">
    <w:name w:val="B小标题 Char"/>
    <w:basedOn w:val="Char1"/>
    <w:link w:val="B"/>
    <w:rsid w:val="001E03C8"/>
    <w:rPr>
      <w:rFonts w:ascii="华文细黑" w:hAnsi="华文细黑"/>
      <w:b/>
    </w:rPr>
  </w:style>
  <w:style w:type="paragraph" w:styleId="40">
    <w:name w:val="toc 4"/>
    <w:basedOn w:val="a0"/>
    <w:next w:val="a0"/>
    <w:autoRedefine/>
    <w:uiPriority w:val="39"/>
    <w:unhideWhenUsed/>
    <w:rsid w:val="00CE6CF0"/>
    <w:pPr>
      <w:ind w:left="660"/>
      <w:jc w:val="left"/>
    </w:pPr>
    <w:rPr>
      <w:rFonts w:ascii="Calibri" w:hAnsi="Calibri" w:cs="Calibri"/>
      <w:sz w:val="18"/>
      <w:szCs w:val="18"/>
    </w:rPr>
  </w:style>
  <w:style w:type="paragraph" w:styleId="50">
    <w:name w:val="toc 5"/>
    <w:basedOn w:val="a0"/>
    <w:next w:val="a0"/>
    <w:autoRedefine/>
    <w:uiPriority w:val="39"/>
    <w:unhideWhenUsed/>
    <w:rsid w:val="00CE6CF0"/>
    <w:pPr>
      <w:ind w:left="880"/>
      <w:jc w:val="left"/>
    </w:pPr>
    <w:rPr>
      <w:rFonts w:ascii="Calibri" w:hAnsi="Calibri" w:cs="Calibri"/>
      <w:sz w:val="18"/>
      <w:szCs w:val="18"/>
    </w:rPr>
  </w:style>
  <w:style w:type="paragraph" w:styleId="6">
    <w:name w:val="toc 6"/>
    <w:basedOn w:val="a0"/>
    <w:next w:val="a0"/>
    <w:autoRedefine/>
    <w:uiPriority w:val="39"/>
    <w:unhideWhenUsed/>
    <w:rsid w:val="00CE6CF0"/>
    <w:pPr>
      <w:ind w:left="1100"/>
      <w:jc w:val="left"/>
    </w:pPr>
    <w:rPr>
      <w:rFonts w:ascii="Calibri" w:hAnsi="Calibri" w:cs="Calibri"/>
      <w:sz w:val="18"/>
      <w:szCs w:val="18"/>
    </w:rPr>
  </w:style>
  <w:style w:type="paragraph" w:styleId="7">
    <w:name w:val="toc 7"/>
    <w:basedOn w:val="a0"/>
    <w:next w:val="a0"/>
    <w:autoRedefine/>
    <w:uiPriority w:val="39"/>
    <w:unhideWhenUsed/>
    <w:rsid w:val="00CE6CF0"/>
    <w:pPr>
      <w:ind w:left="1320"/>
      <w:jc w:val="left"/>
    </w:pPr>
    <w:rPr>
      <w:rFonts w:ascii="Calibri" w:hAnsi="Calibri" w:cs="Calibr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CE6CF0"/>
    <w:pPr>
      <w:ind w:left="1540"/>
      <w:jc w:val="left"/>
    </w:pPr>
    <w:rPr>
      <w:rFonts w:ascii="Calibri" w:hAnsi="Calibri" w:cs="Calibr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CE6CF0"/>
    <w:pPr>
      <w:ind w:left="1760"/>
      <w:jc w:val="left"/>
    </w:pPr>
    <w:rPr>
      <w:rFonts w:ascii="Calibri" w:hAnsi="Calibri" w:cs="Calibri"/>
      <w:sz w:val="18"/>
      <w:szCs w:val="18"/>
    </w:rPr>
  </w:style>
  <w:style w:type="paragraph" w:styleId="afb">
    <w:name w:val="Document Map"/>
    <w:basedOn w:val="a0"/>
    <w:link w:val="Charb"/>
    <w:uiPriority w:val="99"/>
    <w:semiHidden/>
    <w:unhideWhenUsed/>
    <w:rsid w:val="004016B1"/>
    <w:rPr>
      <w:rFonts w:ascii="宋体" w:eastAsia="宋体"/>
      <w:sz w:val="18"/>
      <w:szCs w:val="18"/>
    </w:rPr>
  </w:style>
  <w:style w:type="character" w:customStyle="1" w:styleId="Charb">
    <w:name w:val="文档结构图 Char"/>
    <w:basedOn w:val="a1"/>
    <w:link w:val="afb"/>
    <w:uiPriority w:val="99"/>
    <w:semiHidden/>
    <w:rsid w:val="004016B1"/>
    <w:rPr>
      <w:rFonts w:ascii="宋体" w:hAnsi="Times New Roman"/>
      <w:color w:val="333333"/>
      <w:kern w:val="2"/>
      <w:sz w:val="18"/>
      <w:szCs w:val="18"/>
    </w:rPr>
  </w:style>
  <w:style w:type="paragraph" w:customStyle="1" w:styleId="13">
    <w:name w:val="1"/>
    <w:rsid w:val="00933586"/>
    <w:pPr>
      <w:widowControl w:val="0"/>
      <w:ind w:firstLineChars="200" w:firstLine="200"/>
      <w:jc w:val="both"/>
    </w:pPr>
    <w:rPr>
      <w:rFonts w:ascii="Times New Roman" w:eastAsia="华文细黑" w:hAnsi="Times New Roman"/>
      <w:color w:val="333333"/>
      <w:kern w:val="2"/>
      <w:sz w:val="22"/>
      <w:szCs w:val="24"/>
    </w:rPr>
  </w:style>
  <w:style w:type="character" w:customStyle="1" w:styleId="Char9">
    <w:name w:val="普通(网站) Char"/>
    <w:link w:val="af4"/>
    <w:uiPriority w:val="99"/>
    <w:rsid w:val="00F8476F"/>
    <w:rPr>
      <w:rFonts w:ascii="Times New Roman" w:eastAsia="Times New Roman" w:hAnsi="Times New Roman"/>
      <w:sz w:val="24"/>
      <w:szCs w:val="24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8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5807-8F08-4029-8FE6-00084239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8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xyqh</dc:creator>
  <cp:lastModifiedBy>XZQH</cp:lastModifiedBy>
  <cp:revision>66</cp:revision>
  <cp:lastPrinted>2016-04-08T09:08:00Z</cp:lastPrinted>
  <dcterms:created xsi:type="dcterms:W3CDTF">2017-07-03T01:02:00Z</dcterms:created>
  <dcterms:modified xsi:type="dcterms:W3CDTF">2017-08-01T07:18:00Z</dcterms:modified>
</cp:coreProperties>
</file>